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Acta de Revisão pela Gestão - Conformidade AI Act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Modelo profissional pré-preenchido com revisão real Q1 2026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Boa prática + Art. 17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Acta de Revisão pela Gestão - Conformidade AI Act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Acta da revisão Q1 2026 do Comité IA (TechMed).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Reunião n.º</w:t>
            </w:r>
          </w:p>
        </w:tc>
        <w:tc>
          <w:tcPr>
            <w:tcW w:type="dxa" w:w="6236"/>
          </w:tcPr>
          <w:p>
            <w:r>
              <w:t>CIA-2026-01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 e local</w:t>
            </w:r>
          </w:p>
        </w:tc>
        <w:tc>
          <w:tcPr>
            <w:tcW w:type="dxa" w:w="6236"/>
          </w:tcPr>
          <w:p>
            <w:r>
              <w:t>2026-04-15, 14:00 - Sala "Lisboa", sede TechMed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Período em revisão</w:t>
            </w:r>
          </w:p>
        </w:tc>
        <w:tc>
          <w:tcPr>
            <w:tcW w:type="dxa" w:w="6236"/>
          </w:tcPr>
          <w:p>
            <w:r>
              <w:t>Q1 2026 (1 jan - 31 mar)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Convocada por</w:t>
            </w:r>
          </w:p>
        </w:tc>
        <w:tc>
          <w:tcPr>
            <w:tcW w:type="dxa" w:w="6236"/>
          </w:tcPr>
          <w:p>
            <w:r>
              <w:t>Maria Silva (AI Officer)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Presentes</w:t>
            </w:r>
          </w:p>
        </w:tc>
        <w:tc>
          <w:tcPr>
            <w:tcW w:type="dxa" w:w="6236"/>
          </w:tcPr>
          <w:p>
            <w:r>
              <w:t>Dr. Rui Pereira (CEO), Maria Silva, João Santos (DPO), Ana Costa (CISO), Dr.ª Sofia Mendes, Pedro Almeida, Eng. Carlos Marques (CTO), Carla Sousa (Compliance)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Quórum</w:t>
            </w:r>
          </w:p>
        </w:tc>
        <w:tc>
          <w:tcPr>
            <w:tcW w:type="dxa" w:w="6236"/>
          </w:tcPr>
          <w:p>
            <w:r>
              <w:t>8/8 ✓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1. Estado de implementação da Política de Gestão de Risco IA</w:t>
      </w:r>
    </w:p>
    <w:p>
      <w:r>
        <w:rPr>
          <w:sz w:val="22"/>
        </w:rPr>
        <w:t>PGR-IA-001 v2.0 em vigor desde 2026-04-22. Riscos identificados: 10 (todos no registo R-001). Riscos com score residual ≥10: 0. Riscos críticos abertos: 0.</w:t>
      </w:r>
    </w:p>
    <w:p>
      <w:pPr>
        <w:pStyle w:val="Heading2"/>
      </w:pPr>
      <w:r>
        <w:rPr>
          <w:rFonts w:ascii="Calibri" w:hAnsi="Calibri"/>
          <w:color w:val="0F172A"/>
        </w:rPr>
        <w:t>2. Auditoria interna Q1</w:t>
      </w:r>
    </w:p>
    <w:p>
      <w:r>
        <w:rPr>
          <w:sz w:val="22"/>
        </w:rPr>
        <w:t>Realizada pela Compliance em 2026-03-20/2026-04-05. Score: 92% (vs 87% Q4 2025). 8 NCs menores fechadas, 2 maiores abertas (em remediação).</w:t>
      </w:r>
    </w:p>
    <w:p>
      <w:pPr>
        <w:pStyle w:val="Heading2"/>
      </w:pPr>
      <w:r>
        <w:rPr>
          <w:rFonts w:ascii="Calibri" w:hAnsi="Calibri"/>
          <w:color w:val="0F172A"/>
        </w:rPr>
        <w:t>3. Incidentes do período (Art. 73)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ID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Sistema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Síntese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Notificação</w:t>
            </w:r>
          </w:p>
        </w:tc>
      </w:tr>
      <w:tr>
        <w:tc>
          <w:tcPr>
            <w:tcW w:type="dxa" w:w="1881"/>
          </w:tcPr>
          <w:p>
            <w:r>
              <w:t>INC-2026-001</w:t>
            </w:r>
          </w:p>
        </w:tc>
        <w:tc>
          <w:tcPr>
            <w:tcW w:type="dxa" w:w="1881"/>
          </w:tcPr>
          <w:p>
            <w:r>
              <w:t>MedTriage v3.2.0</w:t>
            </w:r>
          </w:p>
        </w:tc>
        <w:tc>
          <w:tcPr>
            <w:tcW w:type="dxa" w:w="1881"/>
          </w:tcPr>
          <w:p>
            <w:r>
              <w:t>Drift pediátrico</w:t>
            </w:r>
          </w:p>
        </w:tc>
        <w:tc>
          <w:tcPr>
            <w:tcW w:type="dxa" w:w="1881"/>
          </w:tcPr>
          <w:p>
            <w:r>
              <w:t>Resolvido - relatório final 2026-04-07</w:t>
            </w:r>
          </w:p>
        </w:tc>
        <w:tc>
          <w:tcPr>
            <w:tcW w:type="dxa" w:w="1881"/>
          </w:tcPr>
          <w:p>
            <w:r>
              <w:t>ANACOM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Atualizações regulatórias</w:t>
      </w:r>
    </w:p>
    <w:p>
      <w:pPr>
        <w:pStyle w:val="ListBullet"/>
        <w:ind w:left="283"/>
      </w:pPr>
      <w:r>
        <w:rPr>
          <w:sz w:val="21"/>
        </w:rPr>
        <w:t>☑  RCM 2/2026 (ANIA) publicada 2026-01-08 - alinhamento com Eixo 4 (Responsabilidade) em curso</w:t>
      </w:r>
    </w:p>
    <w:p>
      <w:pPr>
        <w:pStyle w:val="ListBullet"/>
        <w:ind w:left="283"/>
      </w:pPr>
      <w:r>
        <w:rPr>
          <w:sz w:val="21"/>
        </w:rPr>
        <w:t>☑  Pacote Omnibus (proposta 19 nov 2025) em monitorização - sem ação imediata</w:t>
      </w:r>
    </w:p>
    <w:p>
      <w:pPr>
        <w:pStyle w:val="ListBullet"/>
        <w:ind w:left="283"/>
      </w:pPr>
      <w:r>
        <w:rPr>
          <w:sz w:val="21"/>
        </w:rPr>
        <w:t>☑  Orientações ANACOM sobre Art. 27 - em análise</w:t>
      </w:r>
    </w:p>
    <w:p>
      <w:pPr>
        <w:pStyle w:val="Heading2"/>
      </w:pPr>
      <w:r>
        <w:rPr>
          <w:rFonts w:ascii="Calibri" w:hAnsi="Calibri"/>
          <w:color w:val="0F172A"/>
        </w:rPr>
        <w:t>5. Indicadores de literacia IA (Art. 4)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Cobertura formação</w:t>
            </w:r>
          </w:p>
        </w:tc>
        <w:tc>
          <w:tcPr>
            <w:tcW w:type="dxa" w:w="6236"/>
          </w:tcPr>
          <w:p>
            <w:r>
              <w:t>99.6% (245/250) - meta 100% até 2026-Q3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Score médio quiz</w:t>
            </w:r>
          </w:p>
        </w:tc>
        <w:tc>
          <w:tcPr>
            <w:tcW w:type="dxa" w:w="6236"/>
          </w:tcPr>
          <w:p>
            <w:r>
              <w:t>88%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Reclamações por desconhecimento</w:t>
            </w:r>
          </w:p>
        </w:tc>
        <w:tc>
          <w:tcPr>
            <w:tcW w:type="dxa" w:w="6236"/>
          </w:tcPr>
          <w:p>
            <w:r>
              <w:t>0 (vs 2 em Q4 2025)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6. Decisões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Decisão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Prazo</w:t>
            </w:r>
          </w:p>
        </w:tc>
      </w:tr>
      <w:tr>
        <w:tc>
          <w:tcPr>
            <w:tcW w:type="dxa" w:w="2351"/>
          </w:tcPr>
          <w:p>
            <w:r>
              <w:t>1</w:t>
            </w:r>
          </w:p>
        </w:tc>
        <w:tc>
          <w:tcPr>
            <w:tcW w:type="dxa" w:w="2351"/>
          </w:tcPr>
          <w:p>
            <w:r>
              <w:t>Acelerar formação dos restantes 5 colaboradores até 2026-06-30</w:t>
            </w:r>
          </w:p>
        </w:tc>
        <w:tc>
          <w:tcPr>
            <w:tcW w:type="dxa" w:w="2351"/>
          </w:tcPr>
          <w:p>
            <w:r>
              <w:t>Pedro Almeida</w:t>
            </w:r>
          </w:p>
        </w:tc>
        <w:tc>
          <w:tcPr>
            <w:tcW w:type="dxa" w:w="2351"/>
          </w:tcPr>
          <w:p>
            <w:r>
              <w:t>2026-06-30</w:t>
            </w:r>
          </w:p>
        </w:tc>
      </w:tr>
      <w:tr>
        <w:tc>
          <w:tcPr>
            <w:tcW w:type="dxa" w:w="2351"/>
          </w:tcPr>
          <w:p>
            <w:r>
              <w:t>2</w:t>
            </w:r>
          </w:p>
        </w:tc>
        <w:tc>
          <w:tcPr>
            <w:tcW w:type="dxa" w:w="2351"/>
          </w:tcPr>
          <w:p>
            <w:r>
              <w:t>Iniciar processo de candidatura à sandbox regulatória ANACOM</w:t>
            </w:r>
          </w:p>
        </w:tc>
        <w:tc>
          <w:tcPr>
            <w:tcW w:type="dxa" w:w="2351"/>
          </w:tcPr>
          <w:p>
            <w:r>
              <w:t>Maria Silva</w:t>
            </w:r>
          </w:p>
        </w:tc>
        <w:tc>
          <w:tcPr>
            <w:tcW w:type="dxa" w:w="2351"/>
          </w:tcPr>
          <w:p>
            <w:r>
              <w:t>2026-Q4</w:t>
            </w:r>
          </w:p>
        </w:tc>
      </w:tr>
      <w:tr>
        <w:tc>
          <w:tcPr>
            <w:tcW w:type="dxa" w:w="2351"/>
          </w:tcPr>
          <w:p>
            <w:r>
              <w:t>3</w:t>
            </w:r>
          </w:p>
        </w:tc>
        <w:tc>
          <w:tcPr>
            <w:tcW w:type="dxa" w:w="2351"/>
          </w:tcPr>
          <w:p>
            <w:r>
              <w:t>Auditoria externa KPMG agendada para Q3 2026</w:t>
            </w:r>
          </w:p>
        </w:tc>
        <w:tc>
          <w:tcPr>
            <w:tcW w:type="dxa" w:w="2351"/>
          </w:tcPr>
          <w:p>
            <w:r>
              <w:t>Maria Silva</w:t>
            </w:r>
          </w:p>
        </w:tc>
        <w:tc>
          <w:tcPr>
            <w:tcW w:type="dxa" w:w="2351"/>
          </w:tcPr>
          <w:p>
            <w:r>
              <w:t>2026-09-30</w:t>
            </w:r>
          </w:p>
        </w:tc>
      </w:tr>
      <w:tr>
        <w:tc>
          <w:tcPr>
            <w:tcW w:type="dxa" w:w="2351"/>
          </w:tcPr>
          <w:p>
            <w:r>
              <w:t>4</w:t>
            </w:r>
          </w:p>
        </w:tc>
        <w:tc>
          <w:tcPr>
            <w:tcW w:type="dxa" w:w="2351"/>
          </w:tcPr>
          <w:p>
            <w:r>
              <w:t>Política de IA Generativa interna a publicar até 2026-05-30</w:t>
            </w:r>
          </w:p>
        </w:tc>
        <w:tc>
          <w:tcPr>
            <w:tcW w:type="dxa" w:w="2351"/>
          </w:tcPr>
          <w:p>
            <w:r>
              <w:t>Eng. Carlos Marques</w:t>
            </w:r>
          </w:p>
        </w:tc>
        <w:tc>
          <w:tcPr>
            <w:tcW w:type="dxa" w:w="2351"/>
          </w:tcPr>
          <w:p>
            <w:r>
              <w:t>2026-05-30</w:t>
            </w:r>
          </w:p>
        </w:tc>
      </w:tr>
      <w:tr>
        <w:tc>
          <w:tcPr>
            <w:tcW w:type="dxa" w:w="2351"/>
          </w:tcPr>
          <w:p>
            <w:r>
              <w:t>5</w:t>
            </w:r>
          </w:p>
        </w:tc>
        <w:tc>
          <w:tcPr>
            <w:tcW w:type="dxa" w:w="2351"/>
          </w:tcPr>
          <w:p>
            <w:r>
              <w:t>Renegociar SLA com TalentAI Pro para incluir métrica de explicabilidade</w:t>
            </w:r>
          </w:p>
        </w:tc>
        <w:tc>
          <w:tcPr>
            <w:tcW w:type="dxa" w:w="2351"/>
          </w:tcPr>
          <w:p>
            <w:r>
              <w:t>Pedro Almeida</w:t>
            </w:r>
          </w:p>
        </w:tc>
        <w:tc>
          <w:tcPr>
            <w:tcW w:type="dxa" w:w="2351"/>
          </w:tcPr>
          <w:p>
            <w:r>
              <w:t>2026-Q3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7. Aprovação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Aprovado em</w:t>
            </w:r>
          </w:p>
        </w:tc>
        <w:tc>
          <w:tcPr>
            <w:tcW w:type="dxa" w:w="6236"/>
          </w:tcPr>
          <w:p>
            <w:r>
              <w:t>2026-04-15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Por</w:t>
            </w:r>
          </w:p>
        </w:tc>
        <w:tc>
          <w:tcPr>
            <w:tcW w:type="dxa" w:w="6236"/>
          </w:tcPr>
          <w:p>
            <w:r>
              <w:t>Dr. Rui Pereira (CEO)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Próxima revisão</w:t>
            </w:r>
          </w:p>
        </w:tc>
        <w:tc>
          <w:tcPr>
            <w:tcW w:type="dxa" w:w="6236"/>
          </w:tcPr>
          <w:p>
            <w:r>
              <w:t>2026-07-15 (Q2)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