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Avaliação de Fornecedores de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Due diligence e monitorização de fornecedores na cadeia de valor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Cadeia de fornecimento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Avaliação de Fornecedores de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Pré-preenchido com a avaliação real do fornecedor TalentAI Pro (HR-Match).</w:t>
      </w:r>
    </w:p>
    <w:p>
      <w:pPr>
        <w:pStyle w:val="Heading2"/>
      </w:pPr>
      <w:r>
        <w:rPr>
          <w:rFonts w:ascii="Calibri" w:hAnsi="Calibri"/>
          <w:color w:val="0F172A"/>
        </w:rPr>
        <w:t>1. Identificação do fornecedor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Designação</w:t>
            </w:r>
          </w:p>
        </w:tc>
        <w:tc>
          <w:tcPr>
            <w:tcW w:type="dxa" w:w="6236"/>
          </w:tcPr>
          <w:p>
            <w:r>
              <w:t>TalentAI Pro, Lda.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NIPC</w:t>
            </w:r>
          </w:p>
        </w:tc>
        <w:tc>
          <w:tcPr>
            <w:tcW w:type="dxa" w:w="6236"/>
          </w:tcPr>
          <w:p>
            <w:r>
              <w:t>510 123 456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Sede</w:t>
            </w:r>
          </w:p>
        </w:tc>
        <w:tc>
          <w:tcPr>
            <w:tcW w:type="dxa" w:w="6236"/>
          </w:tcPr>
          <w:p>
            <w:r>
              <w:t>Madrid, Espanha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Sistema fornecido</w:t>
            </w:r>
          </w:p>
        </w:tc>
        <w:tc>
          <w:tcPr>
            <w:tcW w:type="dxa" w:w="6236"/>
          </w:tcPr>
          <w:p>
            <w:r>
              <w:t>HR-Match v1.0.4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Tipo</w:t>
            </w:r>
          </w:p>
        </w:tc>
        <w:tc>
          <w:tcPr>
            <w:tcW w:type="dxa" w:w="6236"/>
          </w:tcPr>
          <w:p>
            <w:r>
              <w:t>Componente alto risco (Anexo III ponto 4(a))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Contrato</w:t>
            </w:r>
          </w:p>
        </w:tc>
        <w:tc>
          <w:tcPr>
            <w:tcW w:type="dxa" w:w="6236"/>
          </w:tcPr>
          <w:p>
            <w:r>
              <w:t>CTR-2025-001 (5 anos, renovação automática)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Contacto técnico</w:t>
            </w:r>
          </w:p>
        </w:tc>
        <w:tc>
          <w:tcPr>
            <w:tcW w:type="dxa" w:w="6236"/>
          </w:tcPr>
          <w:p>
            <w:r>
              <w:t>James Wilson (CTO) - james.wilson@talentai.eu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 avaliação</w:t>
            </w:r>
          </w:p>
        </w:tc>
        <w:tc>
          <w:tcPr>
            <w:tcW w:type="dxa" w:w="6236"/>
          </w:tcPr>
          <w:p>
            <w:r>
              <w:t>2026-01-15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</w:t>
            </w:r>
          </w:p>
        </w:tc>
        <w:tc>
          <w:tcPr>
            <w:tcW w:type="dxa" w:w="6236"/>
          </w:tcPr>
          <w:p>
            <w:r>
              <w:t>2026-07-15 (semestral)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Critérios de avaliação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Critério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Peso (%)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Score (1-5)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Evidência / nota</w:t>
            </w:r>
          </w:p>
        </w:tc>
      </w:tr>
      <w:tr>
        <w:tc>
          <w:tcPr>
            <w:tcW w:type="dxa" w:w="2351"/>
          </w:tcPr>
          <w:p>
            <w:r>
              <w:t>Declaração de conformidade AI Act</w:t>
            </w:r>
          </w:p>
        </w:tc>
        <w:tc>
          <w:tcPr>
            <w:tcW w:type="dxa" w:w="2351"/>
          </w:tcPr>
          <w:p>
            <w:r>
              <w:t>20</w:t>
            </w:r>
          </w:p>
        </w:tc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>
            <w:r>
              <w:t>✓ Em vigor desde 2025-08</w:t>
            </w:r>
          </w:p>
        </w:tc>
      </w:tr>
      <w:tr>
        <w:tc>
          <w:tcPr>
            <w:tcW w:type="dxa" w:w="2351"/>
          </w:tcPr>
          <w:p>
            <w:r>
              <w:t>Documentação técnica disponível (Anexo IV)</w:t>
            </w:r>
          </w:p>
        </w:tc>
        <w:tc>
          <w:tcPr>
            <w:tcW w:type="dxa" w:w="2351"/>
          </w:tcPr>
          <w:p>
            <w:r>
              <w:t>15</w:t>
            </w:r>
          </w:p>
        </w:tc>
        <w:tc>
          <w:tcPr>
            <w:tcW w:type="dxa" w:w="2351"/>
          </w:tcPr>
          <w:p>
            <w:r>
              <w:t>4</w:t>
            </w:r>
          </w:p>
        </w:tc>
        <w:tc>
          <w:tcPr>
            <w:tcW w:type="dxa" w:w="2351"/>
          </w:tcPr>
          <w:p>
            <w:r>
              <w:t>✓ Completa, secção 3 simplificada</w:t>
            </w:r>
          </w:p>
        </w:tc>
      </w:tr>
      <w:tr>
        <w:tc>
          <w:tcPr>
            <w:tcW w:type="dxa" w:w="2351"/>
          </w:tcPr>
          <w:p>
            <w:r>
              <w:t>Política de gestão de risco IA</w:t>
            </w:r>
          </w:p>
        </w:tc>
        <w:tc>
          <w:tcPr>
            <w:tcW w:type="dxa" w:w="2351"/>
          </w:tcPr>
          <w:p>
            <w:r>
              <w:t>10</w:t>
            </w:r>
          </w:p>
        </w:tc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>
            <w:r>
              <w:t>✓ Política GRP-001 partilhada</w:t>
            </w:r>
          </w:p>
        </w:tc>
      </w:tr>
      <w:tr>
        <w:tc>
          <w:tcPr>
            <w:tcW w:type="dxa" w:w="2351"/>
          </w:tcPr>
          <w:p>
            <w:r>
              <w:t>Histórico de incidentes</w:t>
            </w:r>
          </w:p>
        </w:tc>
        <w:tc>
          <w:tcPr>
            <w:tcW w:type="dxa" w:w="2351"/>
          </w:tcPr>
          <w:p>
            <w:r>
              <w:t>10</w:t>
            </w:r>
          </w:p>
        </w:tc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>
            <w:r>
              <w:t>✓ 0 incidentes graves em 2 anos</w:t>
            </w:r>
          </w:p>
        </w:tc>
      </w:tr>
      <w:tr>
        <w:tc>
          <w:tcPr>
            <w:tcW w:type="dxa" w:w="2351"/>
          </w:tcPr>
          <w:p>
            <w:r>
              <w:t>Cobertura de seguro / responsabilidade</w:t>
            </w:r>
          </w:p>
        </w:tc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>
            <w:r>
              <w:t>4</w:t>
            </w:r>
          </w:p>
        </w:tc>
        <w:tc>
          <w:tcPr>
            <w:tcW w:type="dxa" w:w="2351"/>
          </w:tcPr>
          <w:p>
            <w:r>
              <w:t>Seguro 5M€ + RC profissional</w:t>
            </w:r>
          </w:p>
        </w:tc>
      </w:tr>
      <w:tr>
        <w:tc>
          <w:tcPr>
            <w:tcW w:type="dxa" w:w="2351"/>
          </w:tcPr>
          <w:p>
            <w:r>
              <w:t>Robustez de cibersegurança</w:t>
            </w:r>
          </w:p>
        </w:tc>
        <w:tc>
          <w:tcPr>
            <w:tcW w:type="dxa" w:w="2351"/>
          </w:tcPr>
          <w:p>
            <w:r>
              <w:t>15</w:t>
            </w:r>
          </w:p>
        </w:tc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>
            <w:r>
              <w:t>✓ ISO 27001 certificada; pen-test 2026-01</w:t>
            </w:r>
          </w:p>
        </w:tc>
      </w:tr>
      <w:tr>
        <w:tc>
          <w:tcPr>
            <w:tcW w:type="dxa" w:w="2351"/>
          </w:tcPr>
          <w:p>
            <w:r>
              <w:t>Qualidade dos dados de treino</w:t>
            </w:r>
          </w:p>
        </w:tc>
        <w:tc>
          <w:tcPr>
            <w:tcW w:type="dxa" w:w="2351"/>
          </w:tcPr>
          <w:p>
            <w:r>
              <w:t>10</w:t>
            </w:r>
          </w:p>
        </w:tc>
        <w:tc>
          <w:tcPr>
            <w:tcW w:type="dxa" w:w="2351"/>
          </w:tcPr>
          <w:p>
            <w:r>
              <w:t>4</w:t>
            </w:r>
          </w:p>
        </w:tc>
        <w:tc>
          <w:tcPr>
            <w:tcW w:type="dxa" w:w="2351"/>
          </w:tcPr>
          <w:p>
            <w:r>
              <w:t>Documentado mas sem auditoria externa</w:t>
            </w:r>
          </w:p>
        </w:tc>
      </w:tr>
      <w:tr>
        <w:tc>
          <w:tcPr>
            <w:tcW w:type="dxa" w:w="2351"/>
          </w:tcPr>
          <w:p>
            <w:r>
              <w:t>Cláusulas contratuais aceites</w:t>
            </w:r>
          </w:p>
        </w:tc>
        <w:tc>
          <w:tcPr>
            <w:tcW w:type="dxa" w:w="2351"/>
          </w:tcPr>
          <w:p>
            <w:r>
              <w:t>10</w:t>
            </w:r>
          </w:p>
        </w:tc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>
            <w:r>
              <w:t>✓ Todas aceites no contrato 2025-001</w:t>
            </w:r>
          </w:p>
        </w:tc>
      </w:tr>
      <w:tr>
        <w:tc>
          <w:tcPr>
            <w:tcW w:type="dxa" w:w="2351"/>
          </w:tcPr>
          <w:p>
            <w:r>
              <w:t>Capacidade de cooperação em incidentes</w:t>
            </w:r>
          </w:p>
        </w:tc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>
            <w:r>
              <w:t>✓ SLA &lt;1h, contacto direto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Score final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ponderado</w:t>
            </w:r>
          </w:p>
        </w:tc>
        <w:tc>
          <w:tcPr>
            <w:tcW w:type="dxa" w:w="6236"/>
          </w:tcPr>
          <w:p>
            <w:r>
              <w:t>4.62/5 (92.4%)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mínimo aceitação</w:t>
            </w:r>
          </w:p>
        </w:tc>
        <w:tc>
          <w:tcPr>
            <w:tcW w:type="dxa" w:w="6236"/>
          </w:tcPr>
          <w:p>
            <w:r>
              <w:t>3.0/5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Score-alvo</w:t>
            </w:r>
          </w:p>
        </w:tc>
        <w:tc>
          <w:tcPr>
            <w:tcW w:type="dxa" w:w="6236"/>
          </w:tcPr>
          <w:p>
            <w:r>
              <w:t>4.0/5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Estado</w:t>
            </w:r>
          </w:p>
        </w:tc>
        <w:tc>
          <w:tcPr>
            <w:tcW w:type="dxa" w:w="6236"/>
          </w:tcPr>
          <w:p>
            <w:r>
              <w:t>✓ APROVADO (acima do alvo)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Reavaliação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Tipo de fornecedor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Frequência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Trigger extra</w:t>
            </w:r>
          </w:p>
        </w:tc>
      </w:tr>
      <w:tr>
        <w:tc>
          <w:tcPr>
            <w:tcW w:type="dxa" w:w="3135"/>
          </w:tcPr>
          <w:p>
            <w:r>
              <w:t>GPAI / modelo de fundação</w:t>
            </w:r>
          </w:p>
        </w:tc>
        <w:tc>
          <w:tcPr>
            <w:tcW w:type="dxa" w:w="3135"/>
          </w:tcPr>
          <w:p>
            <w:r>
              <w:t>Anual</w:t>
            </w:r>
          </w:p>
        </w:tc>
        <w:tc>
          <w:tcPr>
            <w:tcW w:type="dxa" w:w="3135"/>
          </w:tcPr>
          <w:p>
            <w:r>
              <w:t>Mudança de versão major</w:t>
            </w:r>
          </w:p>
        </w:tc>
      </w:tr>
      <w:tr>
        <w:tc>
          <w:tcPr>
            <w:tcW w:type="dxa" w:w="3135"/>
          </w:tcPr>
          <w:p>
            <w:r>
              <w:t>Componente alto risco</w:t>
            </w:r>
          </w:p>
        </w:tc>
        <w:tc>
          <w:tcPr>
            <w:tcW w:type="dxa" w:w="3135"/>
          </w:tcPr>
          <w:p>
            <w:r>
              <w:t>Semestral</w:t>
            </w:r>
          </w:p>
        </w:tc>
        <w:tc>
          <w:tcPr>
            <w:tcW w:type="dxa" w:w="3135"/>
          </w:tcPr>
          <w:p>
            <w:r>
              <w:t>Incidente grave / mudança documentação</w:t>
            </w:r>
          </w:p>
        </w:tc>
      </w:tr>
      <w:tr>
        <w:tc>
          <w:tcPr>
            <w:tcW w:type="dxa" w:w="3135"/>
          </w:tcPr>
          <w:p>
            <w:r>
              <w:t>Ferramenta de uso geral</w:t>
            </w:r>
          </w:p>
        </w:tc>
        <w:tc>
          <w:tcPr>
            <w:tcW w:type="dxa" w:w="3135"/>
          </w:tcPr>
          <w:p>
            <w:r>
              <w:t>Bienal</w:t>
            </w:r>
          </w:p>
        </w:tc>
        <w:tc>
          <w:tcPr>
            <w:tcW w:type="dxa" w:w="3135"/>
          </w:tcPr>
          <w:p>
            <w:r>
              <w:t>N/A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Plano de melhoria identificado</w:t>
      </w:r>
    </w:p>
    <w:p>
      <w:pPr>
        <w:pStyle w:val="ListBullet"/>
        <w:ind w:left="283"/>
      </w:pPr>
      <w:r>
        <w:rPr>
          <w:sz w:val="21"/>
        </w:rPr>
        <w:t>☐  Solicitar auditoria externa de qualidade de dados até 2026-Q3</w:t>
      </w:r>
    </w:p>
    <w:p>
      <w:pPr>
        <w:pStyle w:val="ListBullet"/>
        <w:ind w:left="283"/>
      </w:pPr>
      <w:r>
        <w:rPr>
          <w:sz w:val="21"/>
        </w:rPr>
        <w:t>☐  Renovar pen-test em 2027-01 (KPMG)</w:t>
      </w:r>
    </w:p>
    <w:p>
      <w:pPr>
        <w:pStyle w:val="ListBullet"/>
        <w:ind w:left="283"/>
      </w:pPr>
      <w:r>
        <w:rPr>
          <w:sz w:val="21"/>
        </w:rPr>
        <w:t>☐  Atualizar SLA para incluir métrica de explicabilidade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