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Avaliação de Impacto sobre Direitos Fundamentais (FRIA)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Modelo profissional pré-preenchido - Art. 27 do Regulamento (UE) 2024/1689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27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Avaliação de Impacto sobre Direitos Fundamentais (FRIA)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Este FRIA está pré-preenchido com o caso real do sistema "MedTriage AI v3.2.1" de TechMed Solutions, S.A..</w:t>
      </w:r>
    </w:p>
    <w:p>
      <w:pPr>
        <w:pStyle w:val="Heading2"/>
      </w:pPr>
      <w:r>
        <w:rPr>
          <w:rFonts w:ascii="Calibri" w:hAnsi="Calibri"/>
          <w:color w:val="0F172A"/>
        </w:rPr>
        <w:t>1. Identificação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Organização</w:t>
            </w:r>
          </w:p>
        </w:tc>
        <w:tc>
          <w:tcPr>
            <w:tcW w:type="dxa" w:w="6236"/>
          </w:tcPr>
          <w:p>
            <w:r>
              <w:t>TechMed Solutions, S.A.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NIPC</w:t>
            </w:r>
          </w:p>
        </w:tc>
        <w:tc>
          <w:tcPr>
            <w:tcW w:type="dxa" w:w="6236"/>
          </w:tcPr>
          <w:p>
            <w:r>
              <w:t>511 234 567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Morada</w:t>
            </w:r>
          </w:p>
        </w:tc>
        <w:tc>
          <w:tcPr>
            <w:tcW w:type="dxa" w:w="6236"/>
          </w:tcPr>
          <w:p>
            <w:r>
              <w:t>Av. da Liberdade 100, 4.º piso, 1250-145 Lisboa, Portugal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Sistema de IA</w:t>
            </w:r>
          </w:p>
        </w:tc>
        <w:tc>
          <w:tcPr>
            <w:tcW w:type="dxa" w:w="6236"/>
          </w:tcPr>
          <w:p>
            <w:r>
              <w:t>MedTriage AI v3.2.1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Descrição</w:t>
            </w:r>
          </w:p>
        </w:tc>
        <w:tc>
          <w:tcPr>
            <w:tcW w:type="dxa" w:w="6236"/>
          </w:tcPr>
          <w:p>
            <w:r>
              <w:t>Sistema de triagem clínica em urgência hospitalar - atribui prioridade (Manchester Triage System) com base em sintomas, sinais vitais e histórico.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Classificação de risco</w:t>
            </w:r>
          </w:p>
        </w:tc>
        <w:tc>
          <w:tcPr>
            <w:tcW w:type="dxa" w:w="6236"/>
          </w:tcPr>
          <w:p>
            <w:r>
              <w:t>Alto risco (Anexo III ponto 5(b) - serviços essenciais de saúde)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Versão do FRIA</w:t>
            </w:r>
          </w:p>
        </w:tc>
        <w:tc>
          <w:tcPr>
            <w:tcW w:type="dxa" w:w="6236"/>
          </w:tcPr>
          <w:p>
            <w:r>
              <w:t>2.1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Data</w:t>
            </w:r>
          </w:p>
        </w:tc>
        <w:tc>
          <w:tcPr>
            <w:tcW w:type="dxa" w:w="6236"/>
          </w:tcPr>
          <w:p>
            <w:r>
              <w:t>2026-04-15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Autor</w:t>
            </w:r>
          </w:p>
        </w:tc>
        <w:tc>
          <w:tcPr>
            <w:tcW w:type="dxa" w:w="6236"/>
          </w:tcPr>
          <w:p>
            <w:r>
              <w:t>João Santos (Data Protection Officer (DPO))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Aprovado por</w:t>
            </w:r>
          </w:p>
        </w:tc>
        <w:tc>
          <w:tcPr>
            <w:tcW w:type="dxa" w:w="6236"/>
          </w:tcPr>
          <w:p>
            <w:r>
              <w:t>Dr. Rui Pereira (CEO) em 2026-04-22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Próxima revisão</w:t>
            </w:r>
          </w:p>
        </w:tc>
        <w:tc>
          <w:tcPr>
            <w:tcW w:type="dxa" w:w="6236"/>
          </w:tcPr>
          <w:p>
            <w:r>
              <w:t>2027-04-22 (anual) ou em alteração material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Âmbito da FRIA</w:t>
      </w:r>
    </w:p>
    <w:p>
      <w:r>
        <w:rPr>
          <w:sz w:val="22"/>
        </w:rPr>
        <w:t>Nos termos do Art. 27 do Regulamento (UE) 2024/1689, a TechMed Solutions, S.A. realiza a presente Avaliação de Impacto sobre Direitos Fundamentais (FRIA) antes de cada release major do sistema MedTriage AI, dada a sua qualificação como sistema de IA de alto risco (Anexo III ponto 5(b) - serviços essenciais de saúde) e o facto de a entidade prestar serviços públicos no domínio do SNS em parceria com o Ministério da Saúde.</w:t>
      </w:r>
    </w:p>
    <w:p>
      <w:pPr>
        <w:pStyle w:val="Heading2"/>
      </w:pPr>
      <w:r>
        <w:rPr>
          <w:rFonts w:ascii="Calibri" w:hAnsi="Calibri"/>
          <w:color w:val="0F172A"/>
        </w:rPr>
        <w:t>3. Descrição do uso pretendido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Finalidade</w:t>
            </w:r>
          </w:p>
        </w:tc>
        <w:tc>
          <w:tcPr>
            <w:tcW w:type="dxa" w:w="6236"/>
          </w:tcPr>
          <w:p>
            <w:r>
              <w:t>Atribuir prioridade clínica (Manchester Triage System) a doentes em urgência hospitalar com base em sintomas, sinais vitais e histórico clínico.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Categorias de pessoas afetadas</w:t>
            </w:r>
          </w:p>
        </w:tc>
        <w:tc>
          <w:tcPr>
            <w:tcW w:type="dxa" w:w="6236"/>
          </w:tcPr>
          <w:p>
            <w:r>
              <w:t>Doentes que recorrem ao serviço de urgência (~120 mil/ano), incluindo crianças, idosos, gestantes e doentes com condições raras.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Frequência</w:t>
            </w:r>
          </w:p>
        </w:tc>
        <w:tc>
          <w:tcPr>
            <w:tcW w:type="dxa" w:w="6236"/>
          </w:tcPr>
          <w:p>
            <w:r>
              <w:t>24/7, ~330 triagens/dia em pico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Duração</w:t>
            </w:r>
          </w:p>
        </w:tc>
        <w:tc>
          <w:tcPr>
            <w:tcW w:type="dxa" w:w="6236"/>
          </w:tcPr>
          <w:p>
            <w:r>
              <w:t>Permanente - sistema crítico de operação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Contexto</w:t>
            </w:r>
          </w:p>
        </w:tc>
        <w:tc>
          <w:tcPr>
            <w:tcW w:type="dxa" w:w="6236"/>
          </w:tcPr>
          <w:p>
            <w:r>
              <w:t>Serviço de urgência de hospitais parceiros TechMed (12 unidades em Portugal Continental)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Identificação de riscos para direitos fundamentais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val="clear" w:color="auto" w:fill="0F172A"/>
          </w:tcPr>
          <w:p>
            <w:r>
              <w:rPr>
                <w:b/>
                <w:color w:val="FFFFFF"/>
              </w:rPr>
              <w:t>Direito fundamental</w:t>
            </w:r>
          </w:p>
        </w:tc>
        <w:tc>
          <w:tcPr>
            <w:tcW w:type="dxa" w:w="1568"/>
            <w:shd w:val="clear" w:color="auto" w:fill="0F172A"/>
          </w:tcPr>
          <w:p>
            <w:r>
              <w:rPr>
                <w:b/>
                <w:color w:val="FFFFFF"/>
              </w:rPr>
              <w:t>Risco identificado</w:t>
            </w:r>
          </w:p>
        </w:tc>
        <w:tc>
          <w:tcPr>
            <w:tcW w:type="dxa" w:w="1568"/>
            <w:shd w:val="clear" w:color="auto" w:fill="0F172A"/>
          </w:tcPr>
          <w:p>
            <w:r>
              <w:rPr>
                <w:b/>
                <w:color w:val="FFFFFF"/>
              </w:rPr>
              <w:t>P (1-5)</w:t>
            </w:r>
          </w:p>
        </w:tc>
        <w:tc>
          <w:tcPr>
            <w:tcW w:type="dxa" w:w="1568"/>
            <w:shd w:val="clear" w:color="auto" w:fill="0F172A"/>
          </w:tcPr>
          <w:p>
            <w:r>
              <w:rPr>
                <w:b/>
                <w:color w:val="FFFFFF"/>
              </w:rPr>
              <w:t>I (1-5)</w:t>
            </w:r>
          </w:p>
        </w:tc>
        <w:tc>
          <w:tcPr>
            <w:tcW w:type="dxa" w:w="1568"/>
            <w:shd w:val="clear" w:color="auto" w:fill="0F172A"/>
          </w:tcPr>
          <w:p>
            <w:r>
              <w:rPr>
                <w:b/>
                <w:color w:val="FFFFFF"/>
              </w:rPr>
              <w:t>Score</w:t>
            </w:r>
          </w:p>
        </w:tc>
        <w:tc>
          <w:tcPr>
            <w:tcW w:type="dxa" w:w="1568"/>
            <w:shd w:val="clear" w:color="auto" w:fill="0F172A"/>
          </w:tcPr>
          <w:p>
            <w:r>
              <w:rPr>
                <w:b/>
                <w:color w:val="FFFFFF"/>
              </w:rPr>
              <w:t>Nível</w:t>
            </w:r>
          </w:p>
        </w:tc>
      </w:tr>
      <w:tr>
        <w:tc>
          <w:tcPr>
            <w:tcW w:type="dxa" w:w="1568"/>
          </w:tcPr>
          <w:p>
            <w:r>
              <w:t>Não discriminação (CDFUE Art. 21)</w:t>
            </w:r>
          </w:p>
        </w:tc>
        <w:tc>
          <w:tcPr>
            <w:tcW w:type="dxa" w:w="1568"/>
          </w:tcPr>
          <w:p>
            <w:r>
              <w:t>Subprioritização de pacientes idosos por correlação histórica idade-gravidade</w:t>
            </w:r>
          </w:p>
        </w:tc>
        <w:tc>
          <w:tcPr>
            <w:tcW w:type="dxa" w:w="1568"/>
          </w:tcPr>
          <w:p>
            <w:r>
              <w:t>4</w:t>
            </w:r>
          </w:p>
        </w:tc>
        <w:tc>
          <w:tcPr>
            <w:tcW w:type="dxa" w:w="1568"/>
          </w:tcPr>
          <w:p>
            <w:r>
              <w:t>5</w:t>
            </w:r>
          </w:p>
        </w:tc>
        <w:tc>
          <w:tcPr>
            <w:tcW w:type="dxa" w:w="1568"/>
          </w:tcPr>
          <w:p>
            <w:r>
              <w:t>20</w:t>
            </w:r>
          </w:p>
        </w:tc>
        <w:tc>
          <w:tcPr>
            <w:tcW w:type="dxa" w:w="1568"/>
          </w:tcPr>
          <w:p>
            <w:r>
              <w:t>CRÍTICO</w:t>
            </w:r>
          </w:p>
        </w:tc>
      </w:tr>
      <w:tr>
        <w:tc>
          <w:tcPr>
            <w:tcW w:type="dxa" w:w="1568"/>
          </w:tcPr>
          <w:p>
            <w:r>
              <w:t>Saúde / vida (CDFUE Art. 35)</w:t>
            </w:r>
          </w:p>
        </w:tc>
        <w:tc>
          <w:tcPr>
            <w:tcW w:type="dxa" w:w="1568"/>
          </w:tcPr>
          <w:p>
            <w:r>
              <w:t>Falsos negativos em condições raras (&lt;1% prevalência)</w:t>
            </w:r>
          </w:p>
        </w:tc>
        <w:tc>
          <w:tcPr>
            <w:tcW w:type="dxa" w:w="1568"/>
          </w:tcPr>
          <w:p>
            <w:r>
              <w:t>3</w:t>
            </w:r>
          </w:p>
        </w:tc>
        <w:tc>
          <w:tcPr>
            <w:tcW w:type="dxa" w:w="1568"/>
          </w:tcPr>
          <w:p>
            <w:r>
              <w:t>5</w:t>
            </w:r>
          </w:p>
        </w:tc>
        <w:tc>
          <w:tcPr>
            <w:tcW w:type="dxa" w:w="1568"/>
          </w:tcPr>
          <w:p>
            <w:r>
              <w:t>15</w:t>
            </w:r>
          </w:p>
        </w:tc>
        <w:tc>
          <w:tcPr>
            <w:tcW w:type="dxa" w:w="1568"/>
          </w:tcPr>
          <w:p>
            <w:r>
              <w:t>ELEVADO</w:t>
            </w:r>
          </w:p>
        </w:tc>
      </w:tr>
      <w:tr>
        <w:tc>
          <w:tcPr>
            <w:tcW w:type="dxa" w:w="1568"/>
          </w:tcPr>
          <w:p>
            <w:r>
              <w:t>Dignidade humana (CDFUE Art. 1)</w:t>
            </w:r>
          </w:p>
        </w:tc>
        <w:tc>
          <w:tcPr>
            <w:tcW w:type="dxa" w:w="1568"/>
          </w:tcPr>
          <w:p>
            <w:r>
              <w:t>Pacientes não recebem explicação sobre como a triagem foi feita</w:t>
            </w:r>
          </w:p>
        </w:tc>
        <w:tc>
          <w:tcPr>
            <w:tcW w:type="dxa" w:w="1568"/>
          </w:tcPr>
          <w:p>
            <w:r>
              <w:t>4</w:t>
            </w:r>
          </w:p>
        </w:tc>
        <w:tc>
          <w:tcPr>
            <w:tcW w:type="dxa" w:w="1568"/>
          </w:tcPr>
          <w:p>
            <w:r>
              <w:t>3</w:t>
            </w:r>
          </w:p>
        </w:tc>
        <w:tc>
          <w:tcPr>
            <w:tcW w:type="dxa" w:w="1568"/>
          </w:tcPr>
          <w:p>
            <w:r>
              <w:t>12</w:t>
            </w:r>
          </w:p>
        </w:tc>
        <w:tc>
          <w:tcPr>
            <w:tcW w:type="dxa" w:w="1568"/>
          </w:tcPr>
          <w:p>
            <w:r>
              <w:t>ELEVADO</w:t>
            </w:r>
          </w:p>
        </w:tc>
      </w:tr>
      <w:tr>
        <w:tc>
          <w:tcPr>
            <w:tcW w:type="dxa" w:w="1568"/>
          </w:tcPr>
          <w:p>
            <w:r>
              <w:t>Privacidade (CDFUE Art. 7-8)</w:t>
            </w:r>
          </w:p>
        </w:tc>
        <w:tc>
          <w:tcPr>
            <w:tcW w:type="dxa" w:w="1568"/>
          </w:tcPr>
          <w:p>
            <w:r>
              <w:t>Dados clínicos sensíveis processados - risco de fuga</w:t>
            </w:r>
          </w:p>
        </w:tc>
        <w:tc>
          <w:tcPr>
            <w:tcW w:type="dxa" w:w="1568"/>
          </w:tcPr>
          <w:p>
            <w:r>
              <w:t>2</w:t>
            </w:r>
          </w:p>
        </w:tc>
        <w:tc>
          <w:tcPr>
            <w:tcW w:type="dxa" w:w="1568"/>
          </w:tcPr>
          <w:p>
            <w:r>
              <w:t>5</w:t>
            </w:r>
          </w:p>
        </w:tc>
        <w:tc>
          <w:tcPr>
            <w:tcW w:type="dxa" w:w="1568"/>
          </w:tcPr>
          <w:p>
            <w:r>
              <w:t>10</w:t>
            </w:r>
          </w:p>
        </w:tc>
        <w:tc>
          <w:tcPr>
            <w:tcW w:type="dxa" w:w="1568"/>
          </w:tcPr>
          <w:p>
            <w:r>
              <w:t>ELEVADO</w:t>
            </w:r>
          </w:p>
        </w:tc>
      </w:tr>
      <w:tr>
        <w:tc>
          <w:tcPr>
            <w:tcW w:type="dxa" w:w="1568"/>
          </w:tcPr>
          <w:p>
            <w:r>
              <w:t>Tutela jurisdicional (CDFUE Art. 47)</w:t>
            </w:r>
          </w:p>
        </w:tc>
        <w:tc>
          <w:tcPr>
            <w:tcW w:type="dxa" w:w="1568"/>
          </w:tcPr>
          <w:p>
            <w:r>
              <w:t>Ausência de mecanismo claro de queixa específico para decisões IA</w:t>
            </w:r>
          </w:p>
        </w:tc>
        <w:tc>
          <w:tcPr>
            <w:tcW w:type="dxa" w:w="1568"/>
          </w:tcPr>
          <w:p>
            <w:r>
              <w:t>3</w:t>
            </w:r>
          </w:p>
        </w:tc>
        <w:tc>
          <w:tcPr>
            <w:tcW w:type="dxa" w:w="1568"/>
          </w:tcPr>
          <w:p>
            <w:r>
              <w:t>3</w:t>
            </w:r>
          </w:p>
        </w:tc>
        <w:tc>
          <w:tcPr>
            <w:tcW w:type="dxa" w:w="1568"/>
          </w:tcPr>
          <w:p>
            <w:r>
              <w:t>9</w:t>
            </w:r>
          </w:p>
        </w:tc>
        <w:tc>
          <w:tcPr>
            <w:tcW w:type="dxa" w:w="1568"/>
          </w:tcPr>
          <w:p>
            <w:r>
              <w:t>MÉDIO</w:t>
            </w:r>
          </w:p>
        </w:tc>
      </w:tr>
      <w:tr>
        <w:tc>
          <w:tcPr>
            <w:tcW w:type="dxa" w:w="1568"/>
          </w:tcPr>
          <w:p>
            <w:r>
              <w:t>Direitos das crianças (CDFUE Art. 24)</w:t>
            </w:r>
          </w:p>
        </w:tc>
        <w:tc>
          <w:tcPr>
            <w:tcW w:type="dxa" w:w="1568"/>
          </w:tcPr>
          <w:p>
            <w:r>
              <w:t>Triagem pediátrica com dataset historicamente sub-amostrado</w:t>
            </w:r>
          </w:p>
        </w:tc>
        <w:tc>
          <w:tcPr>
            <w:tcW w:type="dxa" w:w="1568"/>
          </w:tcPr>
          <w:p>
            <w:r>
              <w:t>4</w:t>
            </w:r>
          </w:p>
        </w:tc>
        <w:tc>
          <w:tcPr>
            <w:tcW w:type="dxa" w:w="1568"/>
          </w:tcPr>
          <w:p>
            <w:r>
              <w:t>4</w:t>
            </w:r>
          </w:p>
        </w:tc>
        <w:tc>
          <w:tcPr>
            <w:tcW w:type="dxa" w:w="1568"/>
          </w:tcPr>
          <w:p>
            <w:r>
              <w:t>16</w:t>
            </w:r>
          </w:p>
        </w:tc>
        <w:tc>
          <w:tcPr>
            <w:tcW w:type="dxa" w:w="1568"/>
          </w:tcPr>
          <w:p>
            <w:r>
              <w:t>ELEVADO</w:t>
            </w:r>
          </w:p>
        </w:tc>
      </w:tr>
      <w:tr>
        <w:tc>
          <w:tcPr>
            <w:tcW w:type="dxa" w:w="1568"/>
          </w:tcPr>
          <w:p>
            <w:r>
              <w:t>Direitos pessoas com deficiência (CDFUE Art. 26)</w:t>
            </w:r>
          </w:p>
        </w:tc>
        <w:tc>
          <w:tcPr>
            <w:tcW w:type="dxa" w:w="1568"/>
          </w:tcPr>
          <w:p>
            <w:r>
              <w:t>Pacientes com dificuldades de comunicação podem ter sintomas mal interpretados</w:t>
            </w:r>
          </w:p>
        </w:tc>
        <w:tc>
          <w:tcPr>
            <w:tcW w:type="dxa" w:w="1568"/>
          </w:tcPr>
          <w:p>
            <w:r>
              <w:t>3</w:t>
            </w:r>
          </w:p>
        </w:tc>
        <w:tc>
          <w:tcPr>
            <w:tcW w:type="dxa" w:w="1568"/>
          </w:tcPr>
          <w:p>
            <w:r>
              <w:t>4</w:t>
            </w:r>
          </w:p>
        </w:tc>
        <w:tc>
          <w:tcPr>
            <w:tcW w:type="dxa" w:w="1568"/>
          </w:tcPr>
          <w:p>
            <w:r>
              <w:t>12</w:t>
            </w:r>
          </w:p>
        </w:tc>
        <w:tc>
          <w:tcPr>
            <w:tcW w:type="dxa" w:w="1568"/>
          </w:tcPr>
          <w:p>
            <w:r>
              <w:t>ELEVADO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5. Medidas de supervisão humana implementadas</w:t>
      </w:r>
    </w:p>
    <w:p>
      <w:r>
        <w:rPr>
          <w:sz w:val="22"/>
        </w:rPr>
        <w:t>Conforme Art. 14, são adotadas as seguintes medidas:</w:t>
      </w:r>
    </w:p>
    <w:p>
      <w:pPr>
        <w:pStyle w:val="ListBullet"/>
        <w:ind w:left="283"/>
      </w:pPr>
      <w:r>
        <w:rPr>
          <w:sz w:val="21"/>
        </w:rPr>
        <w:t>☑  Triagem assistida obrigatoriamente por enfermeiro(a) de triagem credenciado(a) - supervisão humana em todos os casos</w:t>
      </w:r>
    </w:p>
    <w:p>
      <w:pPr>
        <w:pStyle w:val="ListBullet"/>
        <w:ind w:left="283"/>
      </w:pPr>
      <w:r>
        <w:rPr>
          <w:sz w:val="21"/>
        </w:rPr>
        <w:t>☑  Override automático: confiança &lt;85% → revisão clínica obrigatória antes da prioridade ser atribuída</w:t>
      </w:r>
    </w:p>
    <w:p>
      <w:pPr>
        <w:pStyle w:val="ListBullet"/>
        <w:ind w:left="283"/>
      </w:pPr>
      <w:r>
        <w:rPr>
          <w:sz w:val="21"/>
        </w:rPr>
        <w:t>☑  Botão "discordar" em todas as classificações - feedback automático para o pipeline de retreino</w:t>
      </w:r>
    </w:p>
    <w:p>
      <w:pPr>
        <w:pStyle w:val="ListBullet"/>
        <w:ind w:left="283"/>
      </w:pPr>
      <w:r>
        <w:rPr>
          <w:sz w:val="21"/>
        </w:rPr>
        <w:t>☑  Formação anual de 8h para todo o pessoal de triagem (cobertura 100% em 2026-Q1)</w:t>
      </w:r>
    </w:p>
    <w:p>
      <w:pPr>
        <w:pStyle w:val="ListBullet"/>
        <w:ind w:left="283"/>
      </w:pPr>
      <w:r>
        <w:rPr>
          <w:sz w:val="21"/>
        </w:rPr>
        <w:t>☑  Logs de cada triagem (input, output, intervenção) com retenção de 10 anos (Art. 12)</w:t>
      </w:r>
    </w:p>
    <w:p>
      <w:pPr>
        <w:pStyle w:val="ListBullet"/>
        <w:ind w:left="283"/>
      </w:pPr>
      <w:r>
        <w:rPr>
          <w:sz w:val="21"/>
        </w:rPr>
        <w:t>☑  Auditoria mensal de 100 casos aleatórios pelo Comité de Qualidade Clínica</w:t>
      </w:r>
    </w:p>
    <w:p>
      <w:pPr>
        <w:pStyle w:val="Heading2"/>
      </w:pPr>
      <w:r>
        <w:rPr>
          <w:rFonts w:ascii="Calibri" w:hAnsi="Calibri"/>
          <w:color w:val="0F172A"/>
        </w:rPr>
        <w:t>6. Medidas em caso de risco materializado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Procedimento de notificação interna</w:t>
            </w:r>
          </w:p>
        </w:tc>
        <w:tc>
          <w:tcPr>
            <w:tcW w:type="dxa" w:w="6236"/>
          </w:tcPr>
          <w:p>
            <w:r>
              <w:t>Qualquer profissional reporta para incidentes@techmed-solutions.pt em &lt;1h. Triagem clínica imediata pelo médico de serviço; CISO informado em &lt;2h; AI Officer convocada para análise em &lt;24h.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Plano de mitigação</w:t>
            </w:r>
          </w:p>
        </w:tc>
        <w:tc>
          <w:tcPr>
            <w:tcW w:type="dxa" w:w="6236"/>
          </w:tcPr>
          <w:p>
            <w:r>
              <w:t>Em caso de drift detetado: rollback automático para versão anterior estável (v3.1.4); auditoria emergente de 200 casos das últimas 24h; comunicação ao MoH se afetar &gt;50 doentes.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Pessoa responsável escalação</w:t>
            </w:r>
          </w:p>
        </w:tc>
        <w:tc>
          <w:tcPr>
            <w:tcW w:type="dxa" w:w="6236"/>
          </w:tcPr>
          <w:p>
            <w:r>
              <w:t>Maria Silva (maria.silva@techmed-solutions.pt)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Backup</w:t>
            </w:r>
          </w:p>
        </w:tc>
        <w:tc>
          <w:tcPr>
            <w:tcW w:type="dxa" w:w="6236"/>
          </w:tcPr>
          <w:p>
            <w:r>
              <w:t>João Santos (DPO) - substituto em ausência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7. Mecanismo de queixa (Art. 85)</w:t>
      </w:r>
    </w:p>
    <w:p>
      <w:r>
        <w:rPr>
          <w:sz w:val="22"/>
        </w:rPr>
        <w:t>A TechMed disponibiliza ao público:</w:t>
      </w:r>
    </w:p>
    <w:p>
      <w:pPr>
        <w:pStyle w:val="ListBullet"/>
        <w:ind w:left="283"/>
      </w:pPr>
      <w:r>
        <w:rPr>
          <w:sz w:val="21"/>
        </w:rPr>
        <w:t>☑  Canal interno: queixas-ia@techmed-solutions.pt (resposta em 5 dias úteis)</w:t>
      </w:r>
    </w:p>
    <w:p>
      <w:pPr>
        <w:pStyle w:val="ListBullet"/>
        <w:ind w:left="283"/>
      </w:pPr>
      <w:r>
        <w:rPr>
          <w:sz w:val="21"/>
        </w:rPr>
        <w:t>☑  Formulário online: techmed-solutions.pt/queixas-ia</w:t>
      </w:r>
    </w:p>
    <w:p>
      <w:pPr>
        <w:pStyle w:val="ListBullet"/>
        <w:ind w:left="283"/>
      </w:pPr>
      <w:r>
        <w:rPr>
          <w:sz w:val="21"/>
        </w:rPr>
        <w:t>☑  Linha telefónica: 800 200 100 (chamada gratuita)</w:t>
      </w:r>
    </w:p>
    <w:p>
      <w:pPr>
        <w:pStyle w:val="ListBullet"/>
        <w:ind w:left="283"/>
      </w:pPr>
      <w:r>
        <w:rPr>
          <w:sz w:val="21"/>
        </w:rPr>
        <w:t>☑  Cooperação com ANACOM (autoridade competente) - receção e tratamento conforme Art. 85 do AI Act</w:t>
      </w:r>
    </w:p>
    <w:p>
      <w:pPr>
        <w:pStyle w:val="Heading2"/>
      </w:pPr>
      <w:r>
        <w:rPr>
          <w:rFonts w:ascii="Calibri" w:hAnsi="Calibri"/>
          <w:color w:val="0F172A"/>
        </w:rPr>
        <w:t>8. Aprovação e revisão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Aprovado em</w:t>
            </w:r>
          </w:p>
        </w:tc>
        <w:tc>
          <w:tcPr>
            <w:tcW w:type="dxa" w:w="6236"/>
          </w:tcPr>
          <w:p>
            <w:r>
              <w:t>2026-04-22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Por</w:t>
            </w:r>
          </w:p>
        </w:tc>
        <w:tc>
          <w:tcPr>
            <w:tcW w:type="dxa" w:w="6236"/>
          </w:tcPr>
          <w:p>
            <w:r>
              <w:t>Dr. Rui Pereira (CEO) e Maria Silva (AI Officer)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Notificado à autoridade competente</w:t>
            </w:r>
          </w:p>
        </w:tc>
        <w:tc>
          <w:tcPr>
            <w:tcW w:type="dxa" w:w="6236"/>
          </w:tcPr>
          <w:p>
            <w:r>
              <w:t>ANACOM, em 2026-04-25 (Art. 27(3))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Próxima revisão</w:t>
            </w:r>
          </w:p>
        </w:tc>
        <w:tc>
          <w:tcPr>
            <w:tcW w:type="dxa" w:w="6236"/>
          </w:tcPr>
          <w:p>
            <w:r>
              <w:t>2027-04-22 (anual) ou se houver alteração material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