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Aviso de Transparência IA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Comunicação obrigatória a pessoas que interagem com sistemas de IA - Art. 50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50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Aviso de Transparência IA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Pré-preenchido com casos reais de uso na TechMed (chatbot, CodeAssist, MedTriage, HR-Match).</w:t>
      </w:r>
    </w:p>
    <w:p>
      <w:pPr>
        <w:pStyle w:val="Heading2"/>
      </w:pPr>
      <w:r>
        <w:rPr>
          <w:rFonts w:ascii="Calibri" w:hAnsi="Calibri"/>
          <w:color w:val="0F172A"/>
        </w:rPr>
        <w:t>1. Casos de uso e mensagens-modelo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Caso de uso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Quando avisar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Mensagem (PT-PT)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Frequência</w:t>
            </w:r>
          </w:p>
        </w:tc>
      </w:tr>
      <w:tr>
        <w:tc>
          <w:tcPr>
            <w:tcW w:type="dxa" w:w="2351"/>
          </w:tcPr>
          <w:p>
            <w:r>
              <w:t>Help-desk virtual TechMed (chatbot)</w:t>
            </w:r>
          </w:p>
        </w:tc>
        <w:tc>
          <w:tcPr>
            <w:tcW w:type="dxa" w:w="2351"/>
          </w:tcPr>
          <w:p>
            <w:r>
              <w:t>Antes da primeira interação</w:t>
            </w:r>
          </w:p>
        </w:tc>
        <w:tc>
          <w:tcPr>
            <w:tcW w:type="dxa" w:w="2351"/>
          </w:tcPr>
          <w:p>
            <w:r>
              <w:t>«Olá, sou um assistente virtual baseado em IA. Posso ajudá-lo com questões sobre serviços. Para falar com um agente humano, escreva "humano" ou ligue 800 200 100.»</w:t>
            </w:r>
          </w:p>
        </w:tc>
        <w:tc>
          <w:tcPr>
            <w:tcW w:type="dxa" w:w="2351"/>
          </w:tcPr>
          <w:p>
            <w:r>
              <w:t>Sempre</w:t>
            </w:r>
          </w:p>
        </w:tc>
      </w:tr>
      <w:tr>
        <w:tc>
          <w:tcPr>
            <w:tcW w:type="dxa" w:w="2351"/>
          </w:tcPr>
          <w:p>
            <w:r>
              <w:t>CodeAssist GPAI (interno)</w:t>
            </w:r>
          </w:p>
        </w:tc>
        <w:tc>
          <w:tcPr>
            <w:tcW w:type="dxa" w:w="2351"/>
          </w:tcPr>
          <w:p>
            <w:r>
              <w:t>Login no IDE</w:t>
            </w:r>
          </w:p>
        </w:tc>
        <w:tc>
          <w:tcPr>
            <w:tcW w:type="dxa" w:w="2351"/>
          </w:tcPr>
          <w:p>
            <w:r>
              <w:t>«CodeAssist é uma IA generativa. Reveja sempre o código gerado antes de aceitar. Não cole dados sensíveis (ver AUP).»</w:t>
            </w:r>
          </w:p>
        </w:tc>
        <w:tc>
          <w:tcPr>
            <w:tcW w:type="dxa" w:w="2351"/>
          </w:tcPr>
          <w:p>
            <w:r>
              <w:t>Sempre</w:t>
            </w:r>
          </w:p>
        </w:tc>
      </w:tr>
      <w:tr>
        <w:tc>
          <w:tcPr>
            <w:tcW w:type="dxa" w:w="2351"/>
          </w:tcPr>
          <w:p>
            <w:r>
              <w:t>MedTriage - comunicação ao doente</w:t>
            </w:r>
          </w:p>
        </w:tc>
        <w:tc>
          <w:tcPr>
            <w:tcW w:type="dxa" w:w="2351"/>
          </w:tcPr>
          <w:p>
            <w:r>
              <w:t>À chegada à urgência</w:t>
            </w:r>
          </w:p>
        </w:tc>
        <w:tc>
          <w:tcPr>
            <w:tcW w:type="dxa" w:w="2351"/>
          </w:tcPr>
          <w:p>
            <w:r>
              <w:t>«A sua triagem é apoiada por um sistema de IA, sempre supervisionado por enfermeiro qualificado. Tem direito a explicação e a falar com médico em qualquer momento.»</w:t>
            </w:r>
          </w:p>
        </w:tc>
        <w:tc>
          <w:tcPr>
            <w:tcW w:type="dxa" w:w="2351"/>
          </w:tcPr>
          <w:p>
            <w:r>
              <w:t>Visível em sala de espera + folheto</w:t>
            </w:r>
          </w:p>
        </w:tc>
      </w:tr>
      <w:tr>
        <w:tc>
          <w:tcPr>
            <w:tcW w:type="dxa" w:w="2351"/>
          </w:tcPr>
          <w:p>
            <w:r>
              <w:t>HR-Match - candidatos</w:t>
            </w:r>
          </w:p>
        </w:tc>
        <w:tc>
          <w:tcPr>
            <w:tcW w:type="dxa" w:w="2351"/>
          </w:tcPr>
          <w:p>
            <w:r>
              <w:t>Submissão de candidatura</w:t>
            </w:r>
          </w:p>
        </w:tc>
        <w:tc>
          <w:tcPr>
            <w:tcW w:type="dxa" w:w="2351"/>
          </w:tcPr>
          <w:p>
            <w:r>
              <w:t>«Esta candidatura é analisada por um sistema de IA assistido por humanos. Tem direito a saber como foi avaliado e a ser revisto por uma pessoa.»</w:t>
            </w:r>
          </w:p>
        </w:tc>
        <w:tc>
          <w:tcPr>
            <w:tcW w:type="dxa" w:w="2351"/>
          </w:tcPr>
          <w:p>
            <w:r>
              <w:t>Sempre, no formulário</w:t>
            </w:r>
          </w:p>
        </w:tc>
      </w:tr>
      <w:tr>
        <w:tc>
          <w:tcPr>
            <w:tcW w:type="dxa" w:w="2351"/>
          </w:tcPr>
          <w:p>
            <w:r>
              <w:t>Outputs gerados pelo CodeAssist em PR</w:t>
            </w:r>
          </w:p>
        </w:tc>
        <w:tc>
          <w:tcPr>
            <w:tcW w:type="dxa" w:w="2351"/>
          </w:tcPr>
          <w:p>
            <w:r>
              <w:t>No commit message</w:t>
            </w:r>
          </w:p>
        </w:tc>
        <w:tc>
          <w:tcPr>
            <w:tcW w:type="dxa" w:w="2351"/>
          </w:tcPr>
          <w:p>
            <w:r>
              <w:t>«// Gerado/sugerido com CodeAssist GPAI v1.0»</w:t>
            </w:r>
          </w:p>
        </w:tc>
        <w:tc>
          <w:tcPr>
            <w:tcW w:type="dxa" w:w="2351"/>
          </w:tcPr>
          <w:p>
            <w:r>
              <w:t>Marcação técnica + visível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Requisitos do aviso</w:t>
      </w:r>
    </w:p>
    <w:p>
      <w:pPr>
        <w:pStyle w:val="ListBullet"/>
        <w:ind w:left="283"/>
      </w:pPr>
      <w:r>
        <w:rPr>
          <w:sz w:val="21"/>
        </w:rPr>
        <w:t>☑  Apresentado de forma clara e distinguível (cor, ícone, posição)</w:t>
      </w:r>
    </w:p>
    <w:p>
      <w:pPr>
        <w:pStyle w:val="ListBullet"/>
        <w:ind w:left="283"/>
      </w:pPr>
      <w:r>
        <w:rPr>
          <w:sz w:val="21"/>
        </w:rPr>
        <w:t>☑  Antes da primeira interação ou exposição</w:t>
      </w:r>
    </w:p>
    <w:p>
      <w:pPr>
        <w:pStyle w:val="ListBullet"/>
        <w:ind w:left="283"/>
      </w:pPr>
      <w:r>
        <w:rPr>
          <w:sz w:val="21"/>
        </w:rPr>
        <w:t>☑  Acessível também a pessoas com deficiência (alt-text, leitor de ecrã, contraste WCAG AA)</w:t>
      </w:r>
    </w:p>
    <w:p>
      <w:pPr>
        <w:pStyle w:val="ListBullet"/>
        <w:ind w:left="283"/>
      </w:pPr>
      <w:r>
        <w:rPr>
          <w:sz w:val="21"/>
        </w:rPr>
        <w:t>☑  No idioma do utilizador (pelo menos PT-PT em Portugal; multilingue em sites internacionais)</w:t>
      </w:r>
    </w:p>
    <w:p>
      <w:pPr>
        <w:pStyle w:val="ListBullet"/>
        <w:ind w:left="283"/>
      </w:pPr>
      <w:r>
        <w:rPr>
          <w:sz w:val="21"/>
        </w:rPr>
        <w:t>☑  Concise e em linguagem simples (legibilidade nível 6.º ano)</w:t>
      </w:r>
    </w:p>
    <w:p>
      <w:pPr>
        <w:pStyle w:val="ListBullet"/>
        <w:ind w:left="283"/>
      </w:pPr>
      <w:r>
        <w:rPr>
          <w:sz w:val="21"/>
        </w:rPr>
        <w:t>☑  Inclui canal para falar com humano</w:t>
      </w:r>
    </w:p>
    <w:p>
      <w:pPr>
        <w:pStyle w:val="ListBullet"/>
        <w:ind w:left="283"/>
      </w:pPr>
      <w:r>
        <w:rPr>
          <w:sz w:val="21"/>
        </w:rPr>
        <w:t>☑  Não interrompe utilização legítima (não-bloqueante exceto onde legalmente exigido)</w:t>
      </w:r>
    </w:p>
    <w:p>
      <w:pPr>
        <w:pStyle w:val="Heading2"/>
      </w:pPr>
      <w:r>
        <w:rPr>
          <w:rFonts w:ascii="Calibri" w:hAnsi="Calibri"/>
          <w:color w:val="0F172A"/>
        </w:rPr>
        <w:t>3. Exceções legalmente permitidas</w:t>
      </w:r>
    </w:p>
    <w:p>
      <w:pPr>
        <w:pStyle w:val="ListBullet"/>
        <w:ind w:left="283"/>
      </w:pPr>
      <w:r>
        <w:rPr>
          <w:sz w:val="21"/>
        </w:rPr>
        <w:t>☐  Aplicação da lei autorizada por lei (não aplicável à TechMed)</w:t>
      </w:r>
    </w:p>
    <w:p>
      <w:pPr>
        <w:pStyle w:val="ListBullet"/>
        <w:ind w:left="283"/>
      </w:pPr>
      <w:r>
        <w:rPr>
          <w:sz w:val="21"/>
        </w:rPr>
        <w:t>☐  Conteúdo artístico/satírico - divulgação ainda obrigatória mas adaptada</w:t>
      </w:r>
    </w:p>
    <w:p>
      <w:pPr>
        <w:pStyle w:val="Heading2"/>
      </w:pPr>
      <w:r>
        <w:rPr>
          <w:rFonts w:ascii="Calibri" w:hAnsi="Calibri"/>
          <w:color w:val="0F172A"/>
        </w:rPr>
        <w:t>4. Auditoria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Frequência</w:t>
            </w:r>
          </w:p>
        </w:tc>
        <w:tc>
          <w:tcPr>
            <w:tcW w:type="dxa" w:w="6236"/>
          </w:tcPr>
          <w:p>
            <w:r>
              <w:t>Trimestral - 50 interações/sistema verificadas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Última auditoria</w:t>
            </w:r>
          </w:p>
        </w:tc>
        <w:tc>
          <w:tcPr>
            <w:tcW w:type="dxa" w:w="6236"/>
          </w:tcPr>
          <w:p>
            <w:r>
              <w:t>2026-03-15: 200/200 conformes (100%)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Responsável</w:t>
            </w:r>
          </w:p>
        </w:tc>
        <w:tc>
          <w:tcPr>
            <w:tcW w:type="dxa" w:w="6236"/>
          </w:tcPr>
          <w:p>
            <w:r>
              <w:t>Maria Silva (AI Officer)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