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Checklist de Conformidade - Implementador (Deployer)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Verificação completa das obrigações do deployer (Art. 26)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26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Checklist de Conformidade - Implementador (Deployer)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Pré-preenchida para HR-Match (TechMed = deployer; provider externo: TalentAI Pro).</w:t>
      </w:r>
    </w:p>
    <w:p>
      <w:pPr>
        <w:pStyle w:val="Heading2"/>
      </w:pPr>
      <w:r>
        <w:rPr>
          <w:rFonts w:ascii="Calibri" w:hAnsi="Calibri"/>
          <w:color w:val="0F172A"/>
        </w:rPr>
        <w:t>Utilização conforme as instruções (Art. 26(1))</w:t>
      </w:r>
    </w:p>
    <w:p>
      <w:pPr>
        <w:pStyle w:val="ListBullet"/>
        <w:ind w:left="283"/>
      </w:pPr>
      <w:r>
        <w:rPr>
          <w:sz w:val="21"/>
        </w:rPr>
        <w:t>☑  Instruções de utilização do TalentAI Pro compreendidas e seguidas</w:t>
      </w:r>
    </w:p>
    <w:p>
      <w:pPr>
        <w:pStyle w:val="ListBullet"/>
        <w:ind w:left="283"/>
      </w:pPr>
      <w:r>
        <w:rPr>
          <w:sz w:val="21"/>
        </w:rPr>
        <w:t>☑  Sistema usado dentro do escopo declarado (recrutamento de profissionais saúde em PT)</w:t>
      </w:r>
    </w:p>
    <w:p>
      <w:pPr>
        <w:pStyle w:val="Heading2"/>
      </w:pPr>
      <w:r>
        <w:rPr>
          <w:rFonts w:ascii="Calibri" w:hAnsi="Calibri"/>
          <w:color w:val="0F172A"/>
        </w:rPr>
        <w:t>Supervisão humana (Art. 26(2))</w:t>
      </w:r>
    </w:p>
    <w:p>
      <w:pPr>
        <w:pStyle w:val="ListBullet"/>
        <w:ind w:left="283"/>
      </w:pPr>
      <w:r>
        <w:rPr>
          <w:sz w:val="21"/>
        </w:rPr>
        <w:t>☑  Pessoas designadas (3 recruiters + 1 head of HR) com competência verificada</w:t>
      </w:r>
    </w:p>
    <w:p>
      <w:pPr>
        <w:pStyle w:val="ListBullet"/>
        <w:ind w:left="283"/>
      </w:pPr>
      <w:r>
        <w:rPr>
          <w:sz w:val="21"/>
        </w:rPr>
        <w:t>☑  Formação específica concluída (8h + 4h reciclagem 2026-Q1)</w:t>
      </w:r>
    </w:p>
    <w:p>
      <w:pPr>
        <w:pStyle w:val="ListBullet"/>
        <w:ind w:left="283"/>
      </w:pPr>
      <w:r>
        <w:rPr>
          <w:sz w:val="21"/>
        </w:rPr>
        <w:t>☑  Apoio do TalentAI Pro disponível (SLA contratual: resposta &lt;4h em horário comercial)</w:t>
      </w:r>
    </w:p>
    <w:p>
      <w:pPr>
        <w:pStyle w:val="Heading2"/>
      </w:pPr>
      <w:r>
        <w:rPr>
          <w:rFonts w:ascii="Calibri" w:hAnsi="Calibri"/>
          <w:color w:val="0F172A"/>
        </w:rPr>
        <w:t>Dados de input (Art. 26(4))</w:t>
      </w:r>
    </w:p>
    <w:p>
      <w:pPr>
        <w:pStyle w:val="ListBullet"/>
        <w:ind w:left="283"/>
      </w:pPr>
      <w:r>
        <w:rPr>
          <w:sz w:val="21"/>
        </w:rPr>
        <w:t>☑  Dados de input relevantes e representativos (CVs em português dos últimos 5 anos)</w:t>
      </w:r>
    </w:p>
    <w:p>
      <w:pPr>
        <w:pStyle w:val="Heading2"/>
      </w:pPr>
      <w:r>
        <w:rPr>
          <w:rFonts w:ascii="Calibri" w:hAnsi="Calibri"/>
          <w:color w:val="0F172A"/>
        </w:rPr>
        <w:t>Monitorização (Art. 26(5))</w:t>
      </w:r>
    </w:p>
    <w:p>
      <w:pPr>
        <w:pStyle w:val="ListBullet"/>
        <w:ind w:left="283"/>
      </w:pPr>
      <w:r>
        <w:rPr>
          <w:sz w:val="21"/>
        </w:rPr>
        <w:t>☑  Monitorização do funcionamento conforme instruções (dashboard interno)</w:t>
      </w:r>
    </w:p>
    <w:p>
      <w:pPr>
        <w:pStyle w:val="ListBullet"/>
        <w:ind w:left="283"/>
      </w:pPr>
      <w:r>
        <w:rPr>
          <w:sz w:val="21"/>
        </w:rPr>
        <w:t>☑  Reporte ao TalentAI Pro de funcionamento anómalo (canal direto: alerts@talentai.eu)</w:t>
      </w:r>
    </w:p>
    <w:p>
      <w:pPr>
        <w:pStyle w:val="ListBullet"/>
        <w:ind w:left="283"/>
      </w:pPr>
      <w:r>
        <w:rPr>
          <w:sz w:val="21"/>
        </w:rPr>
        <w:t>☑  Suspensão da utilização perante riscos identificados (último uso: 2026-02-12, 4h)</w:t>
      </w:r>
    </w:p>
    <w:p>
      <w:pPr>
        <w:pStyle w:val="Heading2"/>
      </w:pPr>
      <w:r>
        <w:rPr>
          <w:rFonts w:ascii="Calibri" w:hAnsi="Calibri"/>
          <w:color w:val="0F172A"/>
        </w:rPr>
        <w:t>Conservação de logs (Art. 26(6))</w:t>
      </w:r>
    </w:p>
    <w:p>
      <w:pPr>
        <w:pStyle w:val="ListBullet"/>
        <w:ind w:left="283"/>
      </w:pPr>
      <w:r>
        <w:rPr>
          <w:sz w:val="21"/>
        </w:rPr>
        <w:t>☑  Logs conservados 6 meses (mínimo) + adicional 24 meses para fins de auditoria</w:t>
      </w:r>
    </w:p>
    <w:p>
      <w:pPr>
        <w:pStyle w:val="Heading2"/>
      </w:pPr>
      <w:r>
        <w:rPr>
          <w:rFonts w:ascii="Calibri" w:hAnsi="Calibri"/>
          <w:color w:val="0F172A"/>
        </w:rPr>
        <w:t>Informação a trabalhadores (Art. 26(7))</w:t>
      </w:r>
    </w:p>
    <w:p>
      <w:pPr>
        <w:pStyle w:val="ListBullet"/>
        <w:ind w:left="283"/>
      </w:pPr>
      <w:r>
        <w:rPr>
          <w:sz w:val="21"/>
        </w:rPr>
        <w:t>☑  Antes do go-live (2025-Q4) informados representantes dos trabalhadores e Comissão de Trabalhadores</w:t>
      </w:r>
    </w:p>
    <w:p>
      <w:pPr>
        <w:pStyle w:val="ListBullet"/>
        <w:ind w:left="283"/>
      </w:pPr>
      <w:r>
        <w:rPr>
          <w:sz w:val="21"/>
        </w:rPr>
        <w:t>☑  Documento DOC-TRAB-001 publicado no portal interno</w:t>
      </w:r>
    </w:p>
    <w:p>
      <w:pPr>
        <w:pStyle w:val="Heading2"/>
      </w:pPr>
      <w:r>
        <w:rPr>
          <w:rFonts w:ascii="Calibri" w:hAnsi="Calibri"/>
          <w:color w:val="0F172A"/>
        </w:rPr>
        <w:t>Notificação a pessoas afetadas (Art. 26(11))</w:t>
      </w:r>
    </w:p>
    <w:p>
      <w:pPr>
        <w:pStyle w:val="ListBullet"/>
        <w:ind w:left="283"/>
      </w:pPr>
      <w:r>
        <w:rPr>
          <w:sz w:val="21"/>
        </w:rPr>
        <w:t>☑  Candidatos informados (consentimento RGPD + aviso AI Act) na submissão da candidatura</w:t>
      </w:r>
    </w:p>
    <w:p>
      <w:pPr>
        <w:pStyle w:val="ListBullet"/>
        <w:ind w:left="283"/>
      </w:pPr>
      <w:r>
        <w:rPr>
          <w:sz w:val="21"/>
        </w:rPr>
        <w:t>☑  Em caso de rejeição, direito a explicação concisa e a falar com humano (FAQ-CAND-001)</w:t>
      </w:r>
    </w:p>
    <w:p>
      <w:pPr>
        <w:pStyle w:val="Heading2"/>
      </w:pPr>
      <w:r>
        <w:rPr>
          <w:rFonts w:ascii="Calibri" w:hAnsi="Calibri"/>
          <w:color w:val="0F172A"/>
        </w:rPr>
        <w:t>FRIA (Art. 27) - quando aplicável</w:t>
      </w:r>
    </w:p>
    <w:p>
      <w:pPr>
        <w:pStyle w:val="ListBullet"/>
        <w:ind w:left="283"/>
      </w:pPr>
      <w:r>
        <w:rPr>
          <w:sz w:val="21"/>
        </w:rPr>
        <w:t>☑  Avaliação de impacto realizada antes da colocação em serviço (FRIA-HR-2025-12)</w:t>
      </w:r>
    </w:p>
    <w:p>
      <w:pPr>
        <w:pStyle w:val="ListBullet"/>
        <w:ind w:left="283"/>
      </w:pPr>
      <w:r>
        <w:rPr>
          <w:sz w:val="21"/>
        </w:rPr>
        <w:t>☑  Notificação à autoridade nacional (ANACOM, 2025-12-18)</w:t>
      </w:r>
    </w:p>
    <w:p>
      <w:pPr>
        <w:pStyle w:val="Heading2"/>
      </w:pPr>
      <w:r>
        <w:rPr>
          <w:rFonts w:ascii="Calibri" w:hAnsi="Calibri"/>
          <w:color w:val="0F172A"/>
        </w:rPr>
        <w:t>Cooperação (Art. 26(12))</w:t>
      </w:r>
    </w:p>
    <w:p>
      <w:pPr>
        <w:pStyle w:val="ListBullet"/>
        <w:ind w:left="283"/>
      </w:pPr>
      <w:r>
        <w:rPr>
          <w:sz w:val="21"/>
        </w:rPr>
        <w:t>☑  Cooperação com autoridades competentes (resposta a inquérito ANACOM 2026-03 - 5 dias)</w:t>
      </w:r>
    </w:p>
    <w:p>
      <w:pPr>
        <w:pStyle w:val="ListBullet"/>
        <w:ind w:left="283"/>
      </w:pPr>
      <w:r>
        <w:rPr>
          <w:sz w:val="21"/>
        </w:rPr>
        <w:t>☑  Documentação à disposição</w:t>
      </w:r>
    </w:p>
    <w:p>
      <w:pPr>
        <w:pStyle w:val="Heading2"/>
      </w:pPr>
      <w:r>
        <w:rPr>
          <w:rFonts w:ascii="Calibri" w:hAnsi="Calibri"/>
          <w:color w:val="0F172A"/>
        </w:rPr>
        <w:t>Resumo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conformidade</w:t>
            </w:r>
          </w:p>
        </w:tc>
        <w:tc>
          <w:tcPr>
            <w:tcW w:type="dxa" w:w="6236"/>
          </w:tcPr>
          <w:p>
            <w:r>
              <w:t>100% (18/18 itens)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revisão</w:t>
            </w:r>
          </w:p>
        </w:tc>
        <w:tc>
          <w:tcPr>
            <w:tcW w:type="dxa" w:w="6236"/>
          </w:tcPr>
          <w:p>
            <w:r>
              <w:t>Trimestral - 2026-07-01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Aprovado por</w:t>
            </w:r>
          </w:p>
        </w:tc>
        <w:tc>
          <w:tcPr>
            <w:tcW w:type="dxa" w:w="6236"/>
          </w:tcPr>
          <w:p>
            <w:r>
              <w:t>Pedro Almeida em 2026-04-22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