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0"/>
      </w:pPr>
    </w:p>
    <w:p>
      <w:pPr>
        <w:spacing w:after="400"/>
        <w:jc w:val="center"/>
      </w:pPr>
      <w:r>
        <w:rPr>
          <w:rFonts w:ascii="Calibri" w:hAnsi="Calibri"/>
          <w:b/>
          <w:color w:val="0891B2"/>
          <w:sz w:val="20"/>
        </w:rPr>
        <w:t>AI ACT PORTUGAL  ·  TEMPLATE PROFISSIONAL</w:t>
      </w:r>
    </w:p>
    <w:p>
      <w:pPr>
        <w:spacing w:after="800"/>
        <w:jc w:val="center"/>
      </w:pPr>
      <w:r>
        <w:rPr>
          <w:rFonts w:ascii="Calibri" w:hAnsi="Calibri"/>
          <w:i/>
          <w:color w:val="5C6B7A"/>
          <w:sz w:val="22"/>
        </w:rPr>
        <w:t>[Nome da organização]</w:t>
      </w:r>
    </w:p>
    <w:p>
      <w:pPr>
        <w:spacing w:after="300"/>
        <w:jc w:val="center"/>
      </w:pPr>
      <w:r>
        <w:rPr>
          <w:rFonts w:ascii="Calibri" w:hAnsi="Calibri"/>
          <w:b/>
          <w:color w:val="0F172A"/>
          <w:sz w:val="56"/>
        </w:rPr>
        <w:t>Checklist de Conformidade - Fornecedor (Provider)</w:t>
      </w:r>
    </w:p>
    <w:p>
      <w:pPr>
        <w:jc w:val="center"/>
      </w:pPr>
      <w:r>
        <w:rPr>
          <w:rFonts w:ascii="Calibri" w:hAnsi="Calibri"/>
          <w:color w:val="374151"/>
          <w:sz w:val="26"/>
        </w:rPr>
        <w:t>Verificação completa das obrigações do provider (Art. 16)</w:t>
      </w:r>
    </w:p>
    <w:p>
      <w:pPr>
        <w:spacing w:after="1600" w:before="160"/>
        <w:jc w:val="center"/>
      </w:pPr>
      <w:r>
        <w:rPr>
          <w:rFonts w:ascii="Calibri" w:hAnsi="Calibri"/>
          <w:b/>
          <w:color w:val="EA580C"/>
          <w:sz w:val="22"/>
        </w:rPr>
        <w:t>Art. 16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Versão: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1.0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Data de 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Maio de 2026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Autor: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 Act Portugal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aiact-portugal.pt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Base legal: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Regulamento (UE) 2024/1689</w:t>
            </w:r>
          </w:p>
        </w:tc>
      </w:tr>
    </w:tbl>
    <w:p>
      <w:pPr>
        <w:spacing w:after="1400"/>
      </w:pP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Modelo gratuito disponibilizado por</w:t>
      </w:r>
    </w:p>
    <w:p>
      <w:pPr>
        <w:jc w:val="center"/>
      </w:pPr>
      <w:r>
        <w:rPr>
          <w:rFonts w:ascii="Calibri" w:hAnsi="Calibri"/>
          <w:b/>
          <w:color w:val="0891B2"/>
          <w:sz w:val="24"/>
        </w:rPr>
        <w:t>https://aiact-portugal.pt</w:t>
      </w: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Conformidade com o Regulamento (UE) 2024/1689 (AI Act)</w:t>
      </w:r>
    </w:p>
    <w:p>
      <w:r>
        <w:br w:type="page"/>
      </w:r>
    </w:p>
    <w:p>
      <w:pPr>
        <w:pStyle w:val="Heading1"/>
      </w:pPr>
      <w:r>
        <w:rPr>
          <w:color w:val="0F172A"/>
        </w:rPr>
        <w:t>Sobre esta template</w:t>
      </w:r>
    </w:p>
    <w:p>
      <w:r>
        <w:rPr>
          <w:sz w:val="22"/>
        </w:rPr>
        <w:t>Esta template foi criada pela equipa AI Act Portugal para apoiar organizações em Portugal a implementar boas práticas de conformidade com o Regulamento (UE) 2024/1689 (AI Act). Está pré-preenchida com exemplos reais de uma organização ficcional consistente (TechMed Solutions, S.A.) para que possa ver como cada secção é esperada - basta substituir pelos dados da sua organização.</w:t>
      </w:r>
    </w:p>
    <w:p>
      <w:r>
        <w:rPr>
          <w:sz w:val="22"/>
        </w:rPr>
        <w:t>Para adaptar à sua organização: substitua os dados de exemplo pelos dados reais; ajuste as secções conforme a maturidade, dimensão e setor; remova ou expanda blocos opcionais; valide com o seu AI Officer, DPO e aconselhamento jurídico antes de utilização operacional ou submissão a autoridade competente.</w:t>
      </w:r>
    </w:p>
    <w:p>
      <w:pPr>
        <w:pStyle w:val="Heading1"/>
      </w:pPr>
      <w:r>
        <w:rPr>
          <w:color w:val="0F172A"/>
        </w:rPr>
        <w:t>Sobre AI Act Portugal</w:t>
      </w:r>
    </w:p>
    <w:p>
      <w:r>
        <w:rPr>
          <w:sz w:val="22"/>
        </w:rPr>
        <w:t>AI Act Portugal é uma plataforma informativa independente sobre o Regulamento (UE) 2024/1689 (AI Act) com foco em organizações portuguesas. Disponibiliza conteúdo jurídico-técnico atualizado, ferramentas interativas (classificador de risco, calculadora de custos, auditoria, dashboard, roadmap) e modelos profissionais alinhados com as obrigações regulatórias e com a coordenação da ANACOM.</w:t>
      </w:r>
    </w:p>
    <w:p>
      <w:r>
        <w:rPr>
          <w:b/>
          <w:sz w:val="21"/>
        </w:rPr>
        <w:t xml:space="preserve">Plataforma: </w:t>
      </w:r>
      <w:r>
        <w:rPr>
          <w:color w:val="0891B2"/>
          <w:sz w:val="21"/>
        </w:rPr>
        <w:t>https://aiact-portugal.pt</w:t>
      </w:r>
      <w:r>
        <w:rPr>
          <w:b/>
          <w:sz w:val="21"/>
        </w:rPr>
        <w:t xml:space="preserve">   ·   Contactos: </w:t>
      </w:r>
      <w:r>
        <w:rPr>
          <w:color w:val="0891B2"/>
          <w:sz w:val="21"/>
        </w:rPr>
        <w:t>aiact-portugal.pt/pages/contactos.html</w:t>
      </w:r>
    </w:p>
    <w:p>
      <w:r>
        <w:rPr>
          <w:i/>
          <w:color w:val="5C6B7A"/>
          <w:sz w:val="18"/>
        </w:rPr>
        <w:t>Aviso: este modelo não substitui aconselhamento jurídico profissional. Os exemplos pré-preenchidos referem-se a uma organização ficcional e devem ser adaptados à realidade específica da sua organização.</w:t>
      </w:r>
    </w:p>
    <w:p>
      <w:r>
        <w:br w:type="page"/>
      </w:r>
    </w:p>
    <w:p>
      <w:pPr>
        <w:pStyle w:val="Title"/>
      </w:pPr>
      <w:r>
        <w:rPr>
          <w:color w:val="0F172A"/>
          <w:sz w:val="44"/>
        </w:rPr>
        <w:t>Checklist de Conformidade - Fornecedor (Provider)</w:t>
      </w:r>
    </w:p>
    <w:p>
      <w:r>
        <w:rPr>
          <w:i/>
          <w:color w:val="5C6B7A"/>
          <w:sz w:val="19"/>
        </w:rPr>
        <w:t>[Logo da organização]</w:t>
      </w:r>
    </w:p>
    <w:p>
      <w:r>
        <w:rPr>
          <w:b/>
          <w:color w:val="0F172A"/>
          <w:sz w:val="22"/>
        </w:rPr>
        <w:t>[Nome da organização]</w:t>
      </w:r>
    </w:p>
    <w:p>
      <w:r>
        <w:rPr>
          <w:i/>
          <w:color w:val="5C6B7A"/>
          <w:sz w:val="18"/>
        </w:rPr>
        <w:t>Preparado com apoio de AI Act Portugal - aiact-portugal.pt</w:t>
      </w:r>
    </w:p>
    <w:p>
      <w:pPr>
        <w:pBdr>
          <w:bottom w:val="single" w:sz="12" w:space="1" w:color="0891B2"/>
        </w:pBdr>
      </w:pPr>
    </w:p>
    <w:p>
      <w:r>
        <w:rPr>
          <w:b/>
          <w:i/>
          <w:color w:val="EA580C"/>
          <w:sz w:val="19"/>
        </w:rPr>
        <w:t>💡  EXEMPLO PRÉ-PREENCHIDO: Pré-preenchida para MedTriage AI (TechMed = provider). Estado real Q2 2026.</w:t>
      </w:r>
    </w:p>
    <w:p>
      <w:pPr>
        <w:pStyle w:val="Heading2"/>
      </w:pPr>
      <w:r>
        <w:rPr>
          <w:rFonts w:ascii="Calibri" w:hAnsi="Calibri"/>
          <w:color w:val="0F172A"/>
        </w:rPr>
        <w:t>Sistema de gestão da qualidade (Art. 17)</w:t>
      </w:r>
    </w:p>
    <w:p>
      <w:pPr>
        <w:pStyle w:val="ListBullet"/>
        <w:ind w:left="283"/>
      </w:pPr>
      <w:r>
        <w:rPr>
          <w:sz w:val="21"/>
        </w:rPr>
        <w:t>☑  Sistema documentado de gestão da qualidade implementado</w:t>
      </w:r>
    </w:p>
    <w:p>
      <w:pPr>
        <w:pStyle w:val="ListBullet"/>
        <w:ind w:left="283"/>
      </w:pPr>
      <w:r>
        <w:rPr>
          <w:sz w:val="21"/>
        </w:rPr>
        <w:t>☑  Procedimentos para todas as fases do ciclo de vida</w:t>
      </w:r>
    </w:p>
    <w:p>
      <w:pPr>
        <w:pStyle w:val="ListBullet"/>
        <w:ind w:left="283"/>
      </w:pPr>
      <w:r>
        <w:rPr>
          <w:sz w:val="21"/>
        </w:rPr>
        <w:t>☑  Estrutura organizacional e responsabilidades definidas (RACI publicada)</w:t>
      </w:r>
    </w:p>
    <w:p>
      <w:pPr>
        <w:pStyle w:val="Heading2"/>
      </w:pPr>
      <w:r>
        <w:rPr>
          <w:rFonts w:ascii="Calibri" w:hAnsi="Calibri"/>
          <w:color w:val="0F172A"/>
        </w:rPr>
        <w:t>Documentação técnica (Art. 11, Anexo IV)</w:t>
      </w:r>
    </w:p>
    <w:p>
      <w:pPr>
        <w:pStyle w:val="ListBullet"/>
        <w:ind w:left="283"/>
      </w:pPr>
      <w:r>
        <w:rPr>
          <w:sz w:val="21"/>
        </w:rPr>
        <w:t>☑  Documentação técnica elaborada e atualizada (DOC-TECH-MED-001 v3.2.1)</w:t>
      </w:r>
    </w:p>
    <w:p>
      <w:pPr>
        <w:pStyle w:val="ListBullet"/>
        <w:ind w:left="283"/>
      </w:pPr>
      <w:r>
        <w:rPr>
          <w:sz w:val="21"/>
        </w:rPr>
        <w:t>☑  Conservação por 10 anos após colocação no mercado</w:t>
      </w:r>
    </w:p>
    <w:p>
      <w:pPr>
        <w:pStyle w:val="ListBullet"/>
        <w:ind w:left="283"/>
      </w:pPr>
      <w:r>
        <w:rPr>
          <w:sz w:val="21"/>
        </w:rPr>
        <w:t>☑  Disponível às autoridades quando solicitada</w:t>
      </w:r>
    </w:p>
    <w:p>
      <w:pPr>
        <w:pStyle w:val="Heading2"/>
      </w:pPr>
      <w:r>
        <w:rPr>
          <w:rFonts w:ascii="Calibri" w:hAnsi="Calibri"/>
          <w:color w:val="0F172A"/>
        </w:rPr>
        <w:t>Logs (Art. 12)</w:t>
      </w:r>
    </w:p>
    <w:p>
      <w:pPr>
        <w:pStyle w:val="ListBullet"/>
        <w:ind w:left="283"/>
      </w:pPr>
      <w:r>
        <w:rPr>
          <w:sz w:val="21"/>
        </w:rPr>
        <w:t>☑  Sistema permite registo automático de logs (PostgreSQL + S3 cold storage)</w:t>
      </w:r>
    </w:p>
    <w:p>
      <w:pPr>
        <w:pStyle w:val="ListBullet"/>
        <w:ind w:left="283"/>
      </w:pPr>
      <w:r>
        <w:rPr>
          <w:sz w:val="21"/>
        </w:rPr>
        <w:t>☑  Logs conservados durante 10 anos (Política POL-LOG-001)</w:t>
      </w:r>
    </w:p>
    <w:p>
      <w:pPr>
        <w:pStyle w:val="Heading2"/>
      </w:pPr>
      <w:r>
        <w:rPr>
          <w:rFonts w:ascii="Calibri" w:hAnsi="Calibri"/>
          <w:color w:val="0F172A"/>
        </w:rPr>
        <w:t>Transparência ao deployer (Art. 13)</w:t>
      </w:r>
    </w:p>
    <w:p>
      <w:pPr>
        <w:pStyle w:val="ListBullet"/>
        <w:ind w:left="283"/>
      </w:pPr>
      <w:r>
        <w:rPr>
          <w:sz w:val="21"/>
        </w:rPr>
        <w:t>☑  Instruções de utilização claras (Manual MTM-001 v3.2)</w:t>
      </w:r>
    </w:p>
    <w:p>
      <w:pPr>
        <w:pStyle w:val="ListBullet"/>
        <w:ind w:left="283"/>
      </w:pPr>
      <w:r>
        <w:rPr>
          <w:sz w:val="21"/>
        </w:rPr>
        <w:t>☑  Informação sobre fornecedor, finalidade, limitações documentada</w:t>
      </w:r>
    </w:p>
    <w:p>
      <w:pPr>
        <w:pStyle w:val="Heading2"/>
      </w:pPr>
      <w:r>
        <w:rPr>
          <w:rFonts w:ascii="Calibri" w:hAnsi="Calibri"/>
          <w:color w:val="0F172A"/>
        </w:rPr>
        <w:t>Supervisão humana (Art. 14)</w:t>
      </w:r>
    </w:p>
    <w:p>
      <w:pPr>
        <w:pStyle w:val="ListBullet"/>
        <w:ind w:left="283"/>
      </w:pPr>
      <w:r>
        <w:rPr>
          <w:sz w:val="21"/>
        </w:rPr>
        <w:t>☑  Sistema concebido para permitir supervisão humana eficaz</w:t>
      </w:r>
    </w:p>
    <w:p>
      <w:pPr>
        <w:pStyle w:val="ListBullet"/>
        <w:ind w:left="283"/>
      </w:pPr>
      <w:r>
        <w:rPr>
          <w:sz w:val="21"/>
        </w:rPr>
        <w:t>☑  Interface adequada documentada (UI Spec UI-MED-001)</w:t>
      </w:r>
    </w:p>
    <w:p>
      <w:pPr>
        <w:pStyle w:val="Heading2"/>
      </w:pPr>
      <w:r>
        <w:rPr>
          <w:rFonts w:ascii="Calibri" w:hAnsi="Calibri"/>
          <w:color w:val="0F172A"/>
        </w:rPr>
        <w:t>Exatidão, robustez e cibersegurança (Art. 15)</w:t>
      </w:r>
    </w:p>
    <w:p>
      <w:pPr>
        <w:pStyle w:val="ListBullet"/>
        <w:ind w:left="283"/>
      </w:pPr>
      <w:r>
        <w:rPr>
          <w:sz w:val="21"/>
        </w:rPr>
        <w:t>☑  Métricas declaradas: AUC≥0.92, latência p99≤300ms</w:t>
      </w:r>
    </w:p>
    <w:p>
      <w:pPr>
        <w:pStyle w:val="ListBullet"/>
        <w:ind w:left="283"/>
      </w:pPr>
      <w:r>
        <w:rPr>
          <w:sz w:val="21"/>
        </w:rPr>
        <w:t>☑  Resistência a erros e manipulação (adversarial training, segmentação rede)</w:t>
      </w:r>
    </w:p>
    <w:p>
      <w:pPr>
        <w:pStyle w:val="ListBullet"/>
        <w:ind w:left="283"/>
      </w:pPr>
      <w:r>
        <w:rPr>
          <w:sz w:val="21"/>
        </w:rPr>
        <w:t>☑  Penetration test anual (último: 2026-03 - KPMG, 0 críticas)</w:t>
      </w:r>
    </w:p>
    <w:p>
      <w:pPr>
        <w:pStyle w:val="Heading2"/>
      </w:pPr>
      <w:r>
        <w:rPr>
          <w:rFonts w:ascii="Calibri" w:hAnsi="Calibri"/>
          <w:color w:val="0F172A"/>
        </w:rPr>
        <w:t>Avaliação de conformidade (Art. 43)</w:t>
      </w:r>
    </w:p>
    <w:p>
      <w:pPr>
        <w:pStyle w:val="ListBullet"/>
        <w:ind w:left="283"/>
      </w:pPr>
      <w:r>
        <w:rPr>
          <w:sz w:val="21"/>
        </w:rPr>
        <w:t>☑  Procedimento controlo interno (Anexo VI) aplicado</w:t>
      </w:r>
    </w:p>
    <w:p>
      <w:pPr>
        <w:pStyle w:val="ListBullet"/>
        <w:ind w:left="283"/>
      </w:pPr>
      <w:r>
        <w:rPr>
          <w:sz w:val="21"/>
        </w:rPr>
        <w:t>☑  Avaliação concluída em 2026-09-12</w:t>
      </w:r>
    </w:p>
    <w:p>
      <w:pPr>
        <w:pStyle w:val="Heading2"/>
      </w:pPr>
      <w:r>
        <w:rPr>
          <w:rFonts w:ascii="Calibri" w:hAnsi="Calibri"/>
          <w:color w:val="0F172A"/>
        </w:rPr>
        <w:t>Marcação CE e Declaração UE (Art. 47, 48)</w:t>
      </w:r>
    </w:p>
    <w:p>
      <w:pPr>
        <w:pStyle w:val="ListBullet"/>
        <w:ind w:left="283"/>
      </w:pPr>
      <w:r>
        <w:rPr>
          <w:sz w:val="21"/>
        </w:rPr>
        <w:t>☑  Marcação CE afixada no produto e documentação</w:t>
      </w:r>
    </w:p>
    <w:p>
      <w:pPr>
        <w:pStyle w:val="ListBullet"/>
        <w:ind w:left="283"/>
      </w:pPr>
      <w:r>
        <w:rPr>
          <w:sz w:val="21"/>
        </w:rPr>
        <w:t>☑  Declaração UE de Conformidade emitida (DOC-CONF-2026-001)</w:t>
      </w:r>
    </w:p>
    <w:p>
      <w:pPr>
        <w:pStyle w:val="Heading2"/>
      </w:pPr>
      <w:r>
        <w:rPr>
          <w:rFonts w:ascii="Calibri" w:hAnsi="Calibri"/>
          <w:color w:val="0F172A"/>
        </w:rPr>
        <w:t>Registo na BD UE (Art. 49)</w:t>
      </w:r>
    </w:p>
    <w:p>
      <w:pPr>
        <w:pStyle w:val="ListBullet"/>
        <w:ind w:left="283"/>
      </w:pPr>
      <w:r>
        <w:rPr>
          <w:sz w:val="21"/>
        </w:rPr>
        <w:t>☑  Sistema registado na BD UE antes da colocação no mercado</w:t>
      </w:r>
    </w:p>
    <w:p>
      <w:pPr>
        <w:pStyle w:val="ListBullet"/>
        <w:ind w:left="283"/>
      </w:pPr>
      <w:r>
        <w:rPr>
          <w:sz w:val="21"/>
        </w:rPr>
        <w:t>☑  Informação atualizada após release v3.2.1</w:t>
      </w:r>
    </w:p>
    <w:p>
      <w:pPr>
        <w:pStyle w:val="Heading2"/>
      </w:pPr>
      <w:r>
        <w:rPr>
          <w:rFonts w:ascii="Calibri" w:hAnsi="Calibri"/>
          <w:color w:val="0F172A"/>
        </w:rPr>
        <w:t>Monitorização pós-mercado (Art. 72)</w:t>
      </w:r>
    </w:p>
    <w:p>
      <w:pPr>
        <w:pStyle w:val="ListBullet"/>
        <w:ind w:left="283"/>
      </w:pPr>
      <w:r>
        <w:rPr>
          <w:sz w:val="21"/>
        </w:rPr>
        <w:t>☑  Sistema de monitorização implementado (PMM-MED-2026-001)</w:t>
      </w:r>
    </w:p>
    <w:p>
      <w:pPr>
        <w:pStyle w:val="ListBullet"/>
        <w:ind w:left="283"/>
      </w:pPr>
      <w:r>
        <w:rPr>
          <w:sz w:val="21"/>
        </w:rPr>
        <w:t>☑  Plano documentado e em execução</w:t>
      </w:r>
    </w:p>
    <w:p>
      <w:pPr>
        <w:pStyle w:val="Heading2"/>
      </w:pPr>
      <w:r>
        <w:rPr>
          <w:rFonts w:ascii="Calibri" w:hAnsi="Calibri"/>
          <w:color w:val="0F172A"/>
        </w:rPr>
        <w:t>Notificação de incidentes graves (Art. 73)</w:t>
      </w:r>
    </w:p>
    <w:p>
      <w:pPr>
        <w:pStyle w:val="ListBullet"/>
        <w:ind w:left="283"/>
      </w:pPr>
      <w:r>
        <w:rPr>
          <w:sz w:val="21"/>
        </w:rPr>
        <w:t>☑  Procedimento interno de notificação (POL-INC-001)</w:t>
      </w:r>
    </w:p>
    <w:p>
      <w:pPr>
        <w:pStyle w:val="ListBullet"/>
        <w:ind w:left="283"/>
      </w:pPr>
      <w:r>
        <w:rPr>
          <w:sz w:val="21"/>
        </w:rPr>
        <w:t>☑  Cooperação com autoridade nacional (caso INC-2026-001 - concluído)</w:t>
      </w:r>
    </w:p>
    <w:p>
      <w:pPr>
        <w:pStyle w:val="Heading2"/>
      </w:pPr>
      <w:r>
        <w:rPr>
          <w:rFonts w:ascii="Calibri" w:hAnsi="Calibri"/>
          <w:color w:val="0F172A"/>
        </w:rPr>
        <w:t>Resumo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Score conformidade</w:t>
            </w:r>
          </w:p>
        </w:tc>
        <w:tc>
          <w:tcPr>
            <w:tcW w:type="dxa" w:w="6236"/>
          </w:tcPr>
          <w:p>
            <w:r>
              <w:t>100% (24/24 itens)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Próxima revisão</w:t>
            </w:r>
          </w:p>
        </w:tc>
        <w:tc>
          <w:tcPr>
            <w:tcW w:type="dxa" w:w="6236"/>
          </w:tcPr>
          <w:p>
            <w:r>
              <w:t>Trimestral - 2026-07-01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Auditoria externa</w:t>
            </w:r>
          </w:p>
        </w:tc>
        <w:tc>
          <w:tcPr>
            <w:tcW w:type="dxa" w:w="6236"/>
          </w:tcPr>
          <w:p>
            <w:r>
              <w:t>KPMG, prevista 2026-Q3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Aprovado por</w:t>
            </w:r>
          </w:p>
        </w:tc>
        <w:tc>
          <w:tcPr>
            <w:tcW w:type="dxa" w:w="6236"/>
          </w:tcPr>
          <w:p>
            <w:r>
              <w:t>Maria Silva em 2026-04-15</w:t>
            </w:r>
          </w:p>
        </w:tc>
      </w:tr>
    </w:tbl>
    <w:p/>
    <w:p>
      <w:pPr>
        <w:jc w:val="center"/>
      </w:pPr>
      <w:r>
        <w:rPr>
          <w:i/>
          <w:color w:val="5C6B7A"/>
          <w:sz w:val="16"/>
        </w:rPr>
        <w:t>Este modelo foi gerado por AI Act Portugal (https://aiact-portugal.pt) como guia indicativo de conformidade com o Regulamento (UE) 2024/1689. Os exemplos pré-preenchidos referem-se a uma organização ficcional (TechMed Solutions, S.A.) - adapte os campos à realidade da sua organização. Não substitui aconselhamento jurídico.</w:t>
      </w:r>
    </w:p>
    <w:p>
      <w:r>
        <w:br w:type="page"/>
      </w:r>
    </w:p>
    <w:p>
      <w:pPr>
        <w:pStyle w:val="Heading2"/>
      </w:pPr>
      <w:r>
        <w:rPr>
          <w:rFonts w:ascii="Calibri" w:hAnsi="Calibri"/>
          <w:color w:val="0F172A"/>
        </w:rPr>
        <w:t>Histórico de revisões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Versão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Data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Autor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Resumo das alterações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Aprovado por</w:t>
            </w:r>
          </w:p>
        </w:tc>
      </w:tr>
      <w:tr>
        <w:tc>
          <w:tcPr>
            <w:tcW w:type="dxa" w:w="1881"/>
          </w:tcPr>
          <w:p>
            <w:r>
              <w:t>1.0</w:t>
            </w:r>
          </w:p>
        </w:tc>
        <w:tc>
          <w:tcPr>
            <w:tcW w:type="dxa" w:w="1881"/>
          </w:tcPr>
          <w:p>
            <w:r>
              <w:t>2026-04-15</w:t>
            </w:r>
          </w:p>
        </w:tc>
        <w:tc>
          <w:tcPr>
            <w:tcW w:type="dxa" w:w="1881"/>
          </w:tcPr>
          <w:p>
            <w:r>
              <w:t>AI Officer</w:t>
            </w:r>
          </w:p>
        </w:tc>
        <w:tc>
          <w:tcPr>
            <w:tcW w:type="dxa" w:w="1881"/>
          </w:tcPr>
          <w:p>
            <w:r>
              <w:t>Versão inicial</w:t>
            </w:r>
          </w:p>
        </w:tc>
        <w:tc>
          <w:tcPr>
            <w:tcW w:type="dxa" w:w="1881"/>
          </w:tcPr>
          <w:p>
            <w:r>
              <w:t>CEO + Comité IA</w:t>
            </w:r>
          </w:p>
        </w:tc>
      </w:tr>
      <w:tr>
        <w:tc>
          <w:tcPr>
            <w:tcW w:type="dxa" w:w="1881"/>
          </w:tcPr>
          <w:p>
            <w:r>
              <w:t>1.1</w:t>
            </w:r>
          </w:p>
        </w:tc>
        <w:tc>
          <w:tcPr>
            <w:tcW w:type="dxa" w:w="1881"/>
          </w:tcPr>
          <w:p>
            <w:r>
              <w:t>__/__/______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</w:tr>
      <w:tr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</w:tr>
    </w:tbl>
    <w:p>
      <w:r>
        <w:rPr>
          <w:i/>
          <w:color w:val="5C6B7A"/>
          <w:sz w:val="18"/>
        </w:rPr>
        <w:t>Cada alteração material a este documento deve gerar nova versão e ser aprovada pelas pessoas designadas. Conserve histórico durante 10 anos (Art. 11(2) para sistemas de alto risco).</w:t>
      </w:r>
    </w:p>
    <w:p/>
    <w:p>
      <w:pPr>
        <w:pStyle w:val="Heading2"/>
      </w:pPr>
      <w:r>
        <w:rPr>
          <w:rFonts w:ascii="Calibri" w:hAnsi="Calibri"/>
          <w:color w:val="0F172A"/>
        </w:rPr>
        <w:t>Aprovações</w:t>
      </w:r>
    </w:p>
    <w:p>
      <w:r>
        <w:rPr>
          <w:sz w:val="21"/>
        </w:rPr>
        <w:t>Este documento foi revisto e aprovado pelas pessoas indicadas abaixo. As assinaturas atestam concordância com o conteúdo e compromisso com a sua aplicação na organização.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Papel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Nome e cargo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Assinatura e data</w:t>
            </w:r>
          </w:p>
        </w:tc>
      </w:tr>
      <w:tr>
        <w:tc>
          <w:tcPr>
            <w:tcW w:type="dxa" w:w="3135"/>
          </w:tcPr>
          <w:p>
            <w:r>
              <w:t>Elaborado por</w:t>
            </w:r>
          </w:p>
        </w:tc>
        <w:tc>
          <w:tcPr>
            <w:tcW w:type="dxa" w:w="3135"/>
          </w:tcPr>
          <w:p>
            <w:r>
              <w:t>[Nome] · AI Officer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Revisto por</w:t>
            </w:r>
          </w:p>
        </w:tc>
        <w:tc>
          <w:tcPr>
            <w:tcW w:type="dxa" w:w="3135"/>
          </w:tcPr>
          <w:p>
            <w:r>
              <w:t>[Nome] · DPO + CISO + Compliance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Aprovado por</w:t>
            </w:r>
          </w:p>
        </w:tc>
        <w:tc>
          <w:tcPr>
            <w:tcW w:type="dxa" w:w="3135"/>
          </w:tcPr>
          <w:p>
            <w:r>
              <w:t>[Nome] · CEO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417" w:bottom="1247" w:left="141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1" w:color="0891B2"/>
      </w:pBdr>
    </w:pPr>
    <w:r>
      <w:rPr>
        <w:rFonts w:ascii="Calibri" w:hAnsi="Calibri"/>
        <w:color w:val="5C6B7A"/>
        <w:sz w:val="17"/>
      </w:rPr>
      <w:t xml:space="preserve">Confidencial  |  Página </w:t>
    </w:r>
    <w:r>
      <w:rPr>
        <w:rFonts w:ascii="Calibri" w:hAnsi="Calibri"/>
        <w:color w:val="5C6B7A"/>
        <w:sz w:val="17"/>
      </w:rPr>
      <w:fldChar w:fldCharType="begin"/>
      <w:instrText>PAGE</w:instrText>
      <w:fldChar w:fldCharType="end"/>
    </w:r>
    <w:r>
      <w:rPr>
        <w:rFonts w:ascii="Calibri" w:hAnsi="Calibri"/>
        <w:color w:val="5C6B7A"/>
        <w:sz w:val="17"/>
      </w:rPr>
      <w:t xml:space="preserve"> de </w:t>
    </w:r>
    <w:r>
      <w:rPr>
        <w:rFonts w:ascii="Calibri" w:hAnsi="Calibri"/>
        <w:color w:val="5C6B7A"/>
        <w:sz w:val="17"/>
      </w:rPr>
      <w:fldChar w:fldCharType="begin"/>
      <w:instrText>NUMPAGES</w:instrText>
      <w:fldChar w:fldCharType="end"/>
    </w:r>
    <w:r>
      <w:rPr>
        <w:rFonts w:ascii="Calibri" w:hAnsi="Calibri"/>
        <w:color w:val="5C6B7A"/>
        <w:sz w:val="17"/>
      </w:rPr>
      <w:t xml:space="preserve">  ·  AI Act Portugal · Reg. (UE) 2024/1689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6" w:space="1" w:color="0F172A"/>
      </w:pBdr>
    </w:pPr>
    <w:r>
      <w:rPr>
        <w:rFonts w:ascii="Calibri" w:hAnsi="Calibri"/>
        <w:i/>
        <w:color w:val="5C6B7A"/>
        <w:sz w:val="17"/>
      </w:rPr>
      <w:t>AI Act Portugal  ·  Modelo Profissional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