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Cláusulas Contratuais para Fornecedores GPAI /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Cláusulas-modelo prontas a integrar contratos com fornecedores externos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Cadeia de fornecimento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Cláusulas Contratuais para Fornecedores GPAI /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Cláusulas extraídas do contrato real TechMed-TalentAI Pro (CTR-2025-001 - HR-Match).</w:t>
      </w:r>
    </w:p>
    <w:p>
      <w:pPr>
        <w:pStyle w:val="Heading2"/>
      </w:pPr>
      <w:r>
        <w:rPr>
          <w:rFonts w:ascii="Calibri" w:hAnsi="Calibri"/>
          <w:color w:val="0F172A"/>
        </w:rPr>
        <w:t>1. Cláusula de conformidade AI Act</w:t>
      </w:r>
    </w:p>
    <w:p>
      <w:r>
        <w:rPr>
          <w:sz w:val="22"/>
        </w:rPr>
        <w:t>O FORNECEDOR (TalentAI Pro, Lda., NIPC 510123456) garante que o sistema HR-Match v1.0.x cumpre integralmente o Regulamento (UE) 2024/1689 (AI Act), nomeadamente: classificação de risco (Anexo III ponto 4(a)); documentação técnica (Anexo IV, fornecida ao CLIENTE TechMed Solutions, S.A. em 2025-12-01); declaração UE de conformidade (Art. 47, em vigor); e disponibilização de informação ao deployer conforme Art. 13.</w:t>
      </w:r>
    </w:p>
    <w:p>
      <w:pPr>
        <w:pStyle w:val="Heading2"/>
      </w:pPr>
      <w:r>
        <w:rPr>
          <w:rFonts w:ascii="Calibri" w:hAnsi="Calibri"/>
          <w:color w:val="0F172A"/>
        </w:rPr>
        <w:t>2. Cláusula de informação para GPAI (Art. 53(1)(b))</w:t>
      </w:r>
    </w:p>
    <w:p>
      <w:r>
        <w:rPr>
          <w:sz w:val="22"/>
        </w:rPr>
        <w:t>O FORNECEDOR de qualquer modelo GPAI integrado no sistema obriga-se a disponibilizar ao CLIENTE, no prazo de 15 dias após pedido por escrito, a informação técnica necessária para que o CLIENTE cumpra as suas obrigações enquanto fornecedor downstream, incluindo: (a) capacidades e limitações; (b) fontes principais de treino; (c) síntese suficientemente detalhada dos dados de treino conforme Art. 53(1)(d); (d) métodos de avaliação aplicados.</w:t>
      </w:r>
    </w:p>
    <w:p>
      <w:pPr>
        <w:pStyle w:val="Heading2"/>
      </w:pPr>
      <w:r>
        <w:rPr>
          <w:rFonts w:ascii="Calibri" w:hAnsi="Calibri"/>
          <w:color w:val="0F172A"/>
        </w:rPr>
        <w:t>3. Cláusula de cooperação em incidentes (Art. 73)</w:t>
      </w:r>
    </w:p>
    <w:p>
      <w:r>
        <w:rPr>
          <w:sz w:val="22"/>
        </w:rPr>
        <w:t>O FORNECEDOR compromete-se a cooperar de imediato e sem reservas com o CLIENTE em qualquer investigação de incidente grave, fornecendo dados técnicos, logs e suporte para análise de causa-raiz nos prazos do Art. 73 (24h, 72h, 30 dias). Estabelece-se canal direto: alerts@talentai.eu (resposta &lt; 1h em horário 24/7) e referente técnico nominal: Sr. James Wilson (CTO TalentAI Pro).</w:t>
      </w:r>
    </w:p>
    <w:p>
      <w:pPr>
        <w:pStyle w:val="Heading2"/>
      </w:pPr>
      <w:r>
        <w:rPr>
          <w:rFonts w:ascii="Calibri" w:hAnsi="Calibri"/>
          <w:color w:val="0F172A"/>
        </w:rPr>
        <w:t>4. Cláusula de auditoria</w:t>
      </w:r>
    </w:p>
    <w:p>
      <w:r>
        <w:rPr>
          <w:sz w:val="22"/>
        </w:rPr>
        <w:t>O CLIENTE reserva-se o direito de auditar o cumprimento pelo FORNECEDOR das obrigações do AI Act mediante aviso prévio de 15 dias úteis, até 2 vezes por ano. As despesas são suportadas pelo CLIENTE, salvo se forem identificadas não-conformidades materiais - caso em que o FORNECEDOR suporta os custos da auditoria e das auditorias de seguimento até evidência de remediação. A auditoria pode ser feita por terceiro independente acreditado (e.g. KPMG, Deloitte).</w:t>
      </w:r>
    </w:p>
    <w:p>
      <w:pPr>
        <w:pStyle w:val="Heading2"/>
      </w:pPr>
      <w:r>
        <w:rPr>
          <w:rFonts w:ascii="Calibri" w:hAnsi="Calibri"/>
          <w:color w:val="0F172A"/>
        </w:rPr>
        <w:t>5. Cláusula de notificação de alterações</w:t>
      </w:r>
    </w:p>
    <w:p>
      <w:r>
        <w:rPr>
          <w:sz w:val="22"/>
        </w:rPr>
        <w:t>O FORNECEDOR notifica o CLIENTE com pelo menos 30 dias de antecedência sobre quaisquer alterações substanciais ao sistema/modelo que possam afetar a conformidade do CLIENTE: (i) alterações ao algoritmo; (ii) alterações aos datasets de treino; (iii) alterações às capacidades ou limitações; (iv) novas dependências em fornecedores; (v) atualizações da documentação técnica.</w:t>
      </w:r>
    </w:p>
    <w:p>
      <w:pPr>
        <w:pStyle w:val="Heading2"/>
      </w:pPr>
      <w:r>
        <w:rPr>
          <w:rFonts w:ascii="Calibri" w:hAnsi="Calibri"/>
          <w:color w:val="0F172A"/>
        </w:rPr>
        <w:t>6. Cláusula de proteção de dados (RGPD)</w:t>
      </w:r>
    </w:p>
    <w:p>
      <w:r>
        <w:rPr>
          <w:sz w:val="22"/>
        </w:rPr>
        <w:t>O FORNECEDOR atua como subcontratante (Art. 28 RGPD) e cumpre integralmente o anexo DPA assinado entre as partes. Não usa dados pessoais para treinar modelos próprios sem autorização escrita; aplica encriptação em repouso e trânsito; localiza dados em datacentres na União Europeia (Art. 44 RGPD não aplicável).</w:t>
      </w:r>
    </w:p>
    <w:p>
      <w:pPr>
        <w:pStyle w:val="Heading2"/>
      </w:pPr>
      <w:r>
        <w:rPr>
          <w:rFonts w:ascii="Calibri" w:hAnsi="Calibri"/>
          <w:color w:val="0F172A"/>
        </w:rPr>
        <w:t>7. Cláusula de literacia (Art. 4)</w:t>
      </w:r>
    </w:p>
    <w:p>
      <w:r>
        <w:rPr>
          <w:sz w:val="22"/>
        </w:rPr>
        <w:t>O FORNECEDOR fornece, a custo zero para o CLIENTE, materiais de formação sobre o sistema (mínimo 4h) para todos os colaboradores do CLIENTE que vão operar o sistema, com reciclagem anual.</w:t>
      </w:r>
    </w:p>
    <w:p>
      <w:pPr>
        <w:pStyle w:val="Heading2"/>
      </w:pPr>
      <w:r>
        <w:rPr>
          <w:rFonts w:ascii="Calibri" w:hAnsi="Calibri"/>
          <w:color w:val="0F172A"/>
        </w:rPr>
        <w:t>8. Cláusula de remoção/migração</w:t>
      </w:r>
    </w:p>
    <w:p>
      <w:r>
        <w:rPr>
          <w:sz w:val="22"/>
        </w:rPr>
        <w:t>Em caso de cessação contratual, o FORNECEDOR garante: (i) entrega ao CLIENTE de todos os logs (Art. 12) em formato estruturado em 30 dias; (ii) eliminação dos dados do CLIENTE em 60 dias com certificado de eliminação; (iii) suporte à migração para outro fornecedor durante 90 dias.</w:t>
      </w:r>
    </w:p>
    <w:p>
      <w:pPr>
        <w:pStyle w:val="Heading2"/>
      </w:pPr>
      <w:r>
        <w:rPr>
          <w:rFonts w:ascii="Calibri" w:hAnsi="Calibri"/>
          <w:color w:val="0F172A"/>
        </w:rPr>
        <w:t>9. Sanções e rescisão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Penalidades por incumprimento - info técnica em prazo</w:t>
            </w:r>
          </w:p>
        </w:tc>
        <w:tc>
          <w:tcPr>
            <w:tcW w:type="dxa" w:w="6236"/>
          </w:tcPr>
          <w:p>
            <w:r>
              <w:t>0.5% do valor anual por dia de atraso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Penalidades - incidente Art. 73 não cooperado</w:t>
            </w:r>
          </w:p>
        </w:tc>
        <w:tc>
          <w:tcPr>
            <w:tcW w:type="dxa" w:w="6236"/>
          </w:tcPr>
          <w:p>
            <w:r>
              <w:t>5% do valor anual por incidente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Direito de rescisão por incumprimento substancial</w:t>
            </w:r>
          </w:p>
        </w:tc>
        <w:tc>
          <w:tcPr>
            <w:tcW w:type="dxa" w:w="6236"/>
          </w:tcPr>
          <w:p>
            <w:r>
              <w:t>Imediato, com obrigação de período transitório (90 dias)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Foro</w:t>
            </w:r>
          </w:p>
        </w:tc>
        <w:tc>
          <w:tcPr>
            <w:tcW w:type="dxa" w:w="6236"/>
          </w:tcPr>
          <w:p>
            <w:r>
              <w:t>Tribunal de Lisboa (lei portuguesa)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