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Documentação Técnica para Sistema IA de Alto Risco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Modelo conforme Anexo IV (9 secções) do Regulamento (UE) 2024/1689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Art. 11 + Anexo IV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Documentação Técnica para Sistema IA de Alto Risco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Pré-preenchido para MedTriage AI v3.2.1 - sistema de triagem clínica de alto risco.</w:t>
      </w:r>
    </w:p>
    <w:p>
      <w:pPr>
        <w:pStyle w:val="Heading2"/>
      </w:pPr>
      <w:r>
        <w:rPr>
          <w:rFonts w:ascii="Calibri" w:hAnsi="Calibri"/>
          <w:color w:val="0F172A"/>
        </w:rPr>
        <w:t>1. Descrição geral do sistema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Designação</w:t>
            </w:r>
          </w:p>
        </w:tc>
        <w:tc>
          <w:tcPr>
            <w:tcW w:type="dxa" w:w="6236"/>
          </w:tcPr>
          <w:p>
            <w:r>
              <w:t>MedTriage AI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Versão</w:t>
            </w:r>
          </w:p>
        </w:tc>
        <w:tc>
          <w:tcPr>
            <w:tcW w:type="dxa" w:w="6236"/>
          </w:tcPr>
          <w:p>
            <w:r>
              <w:t>v3.2.1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Versão anterior</w:t>
            </w:r>
          </w:p>
        </w:tc>
        <w:tc>
          <w:tcPr>
            <w:tcW w:type="dxa" w:w="6236"/>
          </w:tcPr>
          <w:p>
            <w:r>
              <w:t>v3.1.4 (substituída em 2026-03-15)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Finalidade pretendida</w:t>
            </w:r>
          </w:p>
        </w:tc>
        <w:tc>
          <w:tcPr>
            <w:tcW w:type="dxa" w:w="6236"/>
          </w:tcPr>
          <w:p>
            <w:r>
              <w:t>Triagem clínica de doentes em urgência segundo Manchester Triage System (5 níveis: vermelho/laranja/amarelo/verde/azul).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Pessoa fornecedora</w:t>
            </w:r>
          </w:p>
        </w:tc>
        <w:tc>
          <w:tcPr>
            <w:tcW w:type="dxa" w:w="6236"/>
          </w:tcPr>
          <w:p>
            <w:r>
              <w:t>TechMed Solutions, S.A. (NIPC 511 234 567)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Mandatário UE</w:t>
            </w:r>
          </w:p>
        </w:tc>
        <w:tc>
          <w:tcPr>
            <w:tcW w:type="dxa" w:w="6236"/>
          </w:tcPr>
          <w:p>
            <w:r>
              <w:t>N/A (fornecedor estabelecido na UE)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Status no mercado</w:t>
            </w:r>
          </w:p>
        </w:tc>
        <w:tc>
          <w:tcPr>
            <w:tcW w:type="dxa" w:w="6236"/>
          </w:tcPr>
          <w:p>
            <w:r>
              <w:t>Em produção desde 2024-09-15, em 12 hospitais parceiros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Hardware</w:t>
            </w:r>
          </w:p>
        </w:tc>
        <w:tc>
          <w:tcPr>
            <w:tcW w:type="dxa" w:w="6236"/>
          </w:tcPr>
          <w:p>
            <w:r>
              <w:t>On-premises: 4× NVIDIA A100 (treino) + 8× CPU Intel Xeon (inferência); HA cluster Kubernetes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Componente de produto</w:t>
            </w:r>
          </w:p>
        </w:tc>
        <w:tc>
          <w:tcPr>
            <w:tcW w:type="dxa" w:w="6236"/>
          </w:tcPr>
          <w:p>
            <w:r>
              <w:t>N/A - sistema standalone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Interface gráfica</w:t>
            </w:r>
          </w:p>
        </w:tc>
        <w:tc>
          <w:tcPr>
            <w:tcW w:type="dxa" w:w="6236"/>
          </w:tcPr>
          <w:p>
            <w:r>
              <w:t>Web UI integrada no SI hospitalar (HL7 FHIR R4); aplicação Android tablet para triagem em sala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Instruções de utilização</w:t>
            </w:r>
          </w:p>
        </w:tc>
        <w:tc>
          <w:tcPr>
            <w:tcW w:type="dxa" w:w="6236"/>
          </w:tcPr>
          <w:p>
            <w:r>
              <w:t>Manual MTM-001 v3.2 (anexo A)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2. Descrição detalhada dos elementos</w:t>
      </w:r>
    </w:p>
    <w:p>
      <w:r>
        <w:rPr>
          <w:sz w:val="22"/>
        </w:rPr>
        <w:t>Métodos e passos de desenvolvimento: agile/Scrum, sprints de 2 semanas, código mantido em monorepo Git (acesso restrito), CI/CD GitLab com gates obrigatórios (lint, unit tests, integration, security scan, bias audit).</w:t>
      </w:r>
    </w:p>
    <w:p>
      <w:r>
        <w:rPr>
          <w:b/>
        </w:rPr>
        <w:t xml:space="preserve">Stack técnica: </w:t>
      </w:r>
      <w:r>
        <w:t>Python 3.11, PyTorch 2.3, FastAPI, PostgreSQL 16, Redis, Kafka</w:t>
      </w:r>
    </w:p>
    <w:p>
      <w:r>
        <w:rPr>
          <w:b/>
        </w:rPr>
        <w:t xml:space="preserve">Arquitetura: </w:t>
      </w:r>
      <w:r>
        <w:t>Random Forest ensemble (n=200) + XGBoost meta-learner para casos limítrofes</w:t>
      </w:r>
    </w:p>
    <w:p>
      <w:r>
        <w:rPr>
          <w:b/>
        </w:rPr>
        <w:t xml:space="preserve">Especificações de design: </w:t>
      </w:r>
      <w:r>
        <w:t>Inputs: 47 features clínicas estruturadas + texto livre (sintomas) processado por BERT clinical PT. Output: classe MTS (1-5) + confiança [0,1] + top-3 razões (SHAP).</w:t>
      </w:r>
    </w:p>
    <w:p>
      <w:r>
        <w:rPr>
          <w:b/>
        </w:rPr>
        <w:t xml:space="preserve">Otimização: </w:t>
      </w:r>
      <w:r>
        <w:t>Maximizar AUC-PR para classes vermelha/laranja (críticas); minimizar erros assimétricos (sub-prioritização &gt; sobre-prioritização)</w:t>
      </w:r>
    </w:p>
    <w:p>
      <w:pPr>
        <w:pStyle w:val="Heading2"/>
      </w:pPr>
      <w:r>
        <w:rPr>
          <w:rFonts w:ascii="Calibri" w:hAnsi="Calibri"/>
          <w:color w:val="0F172A"/>
        </w:rPr>
        <w:t>3. Dados (treino, validação, teste)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Conjunto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Designação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Volume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Fonte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Tratamento</w:t>
            </w:r>
          </w:p>
        </w:tc>
      </w:tr>
      <w:tr>
        <w:tc>
          <w:tcPr>
            <w:tcW w:type="dxa" w:w="1881"/>
          </w:tcPr>
          <w:p>
            <w:r>
              <w:t>Treino</w:t>
            </w:r>
          </w:p>
        </w:tc>
        <w:tc>
          <w:tcPr>
            <w:tcW w:type="dxa" w:w="1881"/>
          </w:tcPr>
          <w:p>
            <w:r>
              <w:t>MedTriage-Train-2024-Q3</w:t>
            </w:r>
          </w:p>
        </w:tc>
        <w:tc>
          <w:tcPr>
            <w:tcW w:type="dxa" w:w="1881"/>
          </w:tcPr>
          <w:p>
            <w:r>
              <w:t>2.4M registos clínicos anonimizados (2018-2023)</w:t>
            </w:r>
          </w:p>
        </w:tc>
        <w:tc>
          <w:tcPr>
            <w:tcW w:type="dxa" w:w="1881"/>
          </w:tcPr>
          <w:p>
            <w:r>
              <w:t>H. São João + H. Santa Maria (DPA 2024-005)</w:t>
            </w:r>
          </w:p>
        </w:tc>
        <w:tc>
          <w:tcPr>
            <w:tcW w:type="dxa" w:w="1881"/>
          </w:tcPr>
          <w:p>
            <w:r>
              <w:t>Anonimização CNPD parecer 2024/167</w:t>
            </w:r>
          </w:p>
        </w:tc>
      </w:tr>
      <w:tr>
        <w:tc>
          <w:tcPr>
            <w:tcW w:type="dxa" w:w="1881"/>
          </w:tcPr>
          <w:p>
            <w:r>
              <w:t>Validação</w:t>
            </w:r>
          </w:p>
        </w:tc>
        <w:tc>
          <w:tcPr>
            <w:tcW w:type="dxa" w:w="1881"/>
          </w:tcPr>
          <w:p>
            <w:r>
              <w:t>MedTriage-Val-2024-Q3</w:t>
            </w:r>
          </w:p>
        </w:tc>
        <w:tc>
          <w:tcPr>
            <w:tcW w:type="dxa" w:w="1881"/>
          </w:tcPr>
          <w:p>
            <w:r>
              <w:t>300k registos (10% temporal split)</w:t>
            </w:r>
          </w:p>
        </w:tc>
        <w:tc>
          <w:tcPr>
            <w:tcW w:type="dxa" w:w="1881"/>
          </w:tcPr>
          <w:p>
            <w:r>
              <w:t>Mesmas fontes</w:t>
            </w:r>
          </w:p>
        </w:tc>
        <w:tc>
          <w:tcPr>
            <w:tcW w:type="dxa" w:w="1881"/>
          </w:tcPr>
          <w:p>
            <w:r>
              <w:t>Anonimizados</w:t>
            </w:r>
          </w:p>
        </w:tc>
      </w:tr>
      <w:tr>
        <w:tc>
          <w:tcPr>
            <w:tcW w:type="dxa" w:w="1881"/>
          </w:tcPr>
          <w:p>
            <w:r>
              <w:t>Teste</w:t>
            </w:r>
          </w:p>
        </w:tc>
        <w:tc>
          <w:tcPr>
            <w:tcW w:type="dxa" w:w="1881"/>
          </w:tcPr>
          <w:p>
            <w:r>
              <w:t>MedTriage-Test-2024-Q3</w:t>
            </w:r>
          </w:p>
        </w:tc>
        <w:tc>
          <w:tcPr>
            <w:tcW w:type="dxa" w:w="1881"/>
          </w:tcPr>
          <w:p>
            <w:r>
              <w:t>300k registos (10% holdout 2023)</w:t>
            </w:r>
          </w:p>
        </w:tc>
        <w:tc>
          <w:tcPr>
            <w:tcW w:type="dxa" w:w="1881"/>
          </w:tcPr>
          <w:p>
            <w:r>
              <w:t>Mesmas fontes</w:t>
            </w:r>
          </w:p>
        </w:tc>
        <w:tc>
          <w:tcPr>
            <w:tcW w:type="dxa" w:w="1881"/>
          </w:tcPr>
          <w:p>
            <w:r>
              <w:t>Anonimizados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4. Sistema de monitorização do desempenho</w:t>
      </w:r>
    </w:p>
    <w:p>
      <w:pPr>
        <w:pStyle w:val="ListBullet"/>
        <w:ind w:left="283"/>
      </w:pPr>
      <w:r>
        <w:rPr>
          <w:sz w:val="21"/>
        </w:rPr>
        <w:t>☑  Métricas em tempo real: AUC-PR por classe, distribuição de confiança, latência (p50, p95, p99)</w:t>
      </w:r>
    </w:p>
    <w:p>
      <w:pPr>
        <w:pStyle w:val="ListBullet"/>
        <w:ind w:left="283"/>
      </w:pPr>
      <w:r>
        <w:rPr>
          <w:sz w:val="21"/>
        </w:rPr>
        <w:t>☑  Monitorização de drift: PSI (Population Stability Index) diário em cada feature; alerta se PSI&gt;0.2</w:t>
      </w:r>
    </w:p>
    <w:p>
      <w:pPr>
        <w:pStyle w:val="ListBullet"/>
        <w:ind w:left="283"/>
      </w:pPr>
      <w:r>
        <w:rPr>
          <w:sz w:val="21"/>
        </w:rPr>
        <w:t>☑  Auditoria de viés mensal: parity por idade, género, região, etnia inferida (proxy)</w:t>
      </w:r>
    </w:p>
    <w:p>
      <w:pPr>
        <w:pStyle w:val="ListBullet"/>
        <w:ind w:left="283"/>
      </w:pPr>
      <w:r>
        <w:rPr>
          <w:sz w:val="21"/>
        </w:rPr>
        <w:t>☑  Logs de cada inferência (Art. 12) - retenção 10 anos</w:t>
      </w:r>
    </w:p>
    <w:p>
      <w:pPr>
        <w:pStyle w:val="ListBullet"/>
        <w:ind w:left="283"/>
      </w:pPr>
      <w:r>
        <w:rPr>
          <w:sz w:val="21"/>
        </w:rPr>
        <w:t>☑  Dashboard Grafana acessível ao Comité de Qualidade Clínica 24/7</w:t>
      </w:r>
    </w:p>
    <w:p>
      <w:pPr>
        <w:pStyle w:val="Heading2"/>
      </w:pPr>
      <w:r>
        <w:rPr>
          <w:rFonts w:ascii="Calibri" w:hAnsi="Calibri"/>
          <w:color w:val="0F172A"/>
        </w:rPr>
        <w:t>5. Métricas de exatidão, robustez e cibersegurança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Métrica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Limiar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Valor atual (Q1 2026)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Estado</w:t>
            </w:r>
          </w:p>
        </w:tc>
      </w:tr>
      <w:tr>
        <w:tc>
          <w:tcPr>
            <w:tcW w:type="dxa" w:w="2351"/>
          </w:tcPr>
          <w:p>
            <w:r>
              <w:t>Exatidão (AUC-PR macro)</w:t>
            </w:r>
          </w:p>
        </w:tc>
        <w:tc>
          <w:tcPr>
            <w:tcW w:type="dxa" w:w="2351"/>
          </w:tcPr>
          <w:p>
            <w:r>
              <w:t>≥ 0.92</w:t>
            </w:r>
          </w:p>
        </w:tc>
        <w:tc>
          <w:tcPr>
            <w:tcW w:type="dxa" w:w="2351"/>
          </w:tcPr>
          <w:p>
            <w:r>
              <w:t>0.94</w:t>
            </w:r>
          </w:p>
        </w:tc>
        <w:tc>
          <w:tcPr>
            <w:tcW w:type="dxa" w:w="2351"/>
          </w:tcPr>
          <w:p>
            <w:r>
              <w:t>OK</w:t>
            </w:r>
          </w:p>
        </w:tc>
      </w:tr>
      <w:tr>
        <w:tc>
          <w:tcPr>
            <w:tcW w:type="dxa" w:w="2351"/>
          </w:tcPr>
          <w:p>
            <w:r>
              <w:t>Sensibilidade classe vermelha</w:t>
            </w:r>
          </w:p>
        </w:tc>
        <w:tc>
          <w:tcPr>
            <w:tcW w:type="dxa" w:w="2351"/>
          </w:tcPr>
          <w:p>
            <w:r>
              <w:t>≥ 0.98</w:t>
            </w:r>
          </w:p>
        </w:tc>
        <w:tc>
          <w:tcPr>
            <w:tcW w:type="dxa" w:w="2351"/>
          </w:tcPr>
          <w:p>
            <w:r>
              <w:t>0.987</w:t>
            </w:r>
          </w:p>
        </w:tc>
        <w:tc>
          <w:tcPr>
            <w:tcW w:type="dxa" w:w="2351"/>
          </w:tcPr>
          <w:p>
            <w:r>
              <w:t>OK</w:t>
            </w:r>
          </w:p>
        </w:tc>
      </w:tr>
      <w:tr>
        <w:tc>
          <w:tcPr>
            <w:tcW w:type="dxa" w:w="2351"/>
          </w:tcPr>
          <w:p>
            <w:r>
              <w:t>Specificity classe verde</w:t>
            </w:r>
          </w:p>
        </w:tc>
        <w:tc>
          <w:tcPr>
            <w:tcW w:type="dxa" w:w="2351"/>
          </w:tcPr>
          <w:p>
            <w:r>
              <w:t>≥ 0.85</w:t>
            </w:r>
          </w:p>
        </w:tc>
        <w:tc>
          <w:tcPr>
            <w:tcW w:type="dxa" w:w="2351"/>
          </w:tcPr>
          <w:p>
            <w:r>
              <w:t>0.88</w:t>
            </w:r>
          </w:p>
        </w:tc>
        <w:tc>
          <w:tcPr>
            <w:tcW w:type="dxa" w:w="2351"/>
          </w:tcPr>
          <w:p>
            <w:r>
              <w:t>OK</w:t>
            </w:r>
          </w:p>
        </w:tc>
      </w:tr>
      <w:tr>
        <w:tc>
          <w:tcPr>
            <w:tcW w:type="dxa" w:w="2351"/>
          </w:tcPr>
          <w:p>
            <w:r>
              <w:t>Robustez (drop em adversarial)</w:t>
            </w:r>
          </w:p>
        </w:tc>
        <w:tc>
          <w:tcPr>
            <w:tcW w:type="dxa" w:w="2351"/>
          </w:tcPr>
          <w:p>
            <w:r>
              <w:t>≤ 5%</w:t>
            </w:r>
          </w:p>
        </w:tc>
        <w:tc>
          <w:tcPr>
            <w:tcW w:type="dxa" w:w="2351"/>
          </w:tcPr>
          <w:p>
            <w:r>
              <w:t>3.2%</w:t>
            </w:r>
          </w:p>
        </w:tc>
        <w:tc>
          <w:tcPr>
            <w:tcW w:type="dxa" w:w="2351"/>
          </w:tcPr>
          <w:p>
            <w:r>
              <w:t>OK</w:t>
            </w:r>
          </w:p>
        </w:tc>
      </w:tr>
      <w:tr>
        <w:tc>
          <w:tcPr>
            <w:tcW w:type="dxa" w:w="2351"/>
          </w:tcPr>
          <w:p>
            <w:r>
              <w:t>Disparate Impact (idade)</w:t>
            </w:r>
          </w:p>
        </w:tc>
        <w:tc>
          <w:tcPr>
            <w:tcW w:type="dxa" w:w="2351"/>
          </w:tcPr>
          <w:p>
            <w:r>
              <w:t>0.8 ≤ DI ≤ 1.25</w:t>
            </w:r>
          </w:p>
        </w:tc>
        <w:tc>
          <w:tcPr>
            <w:tcW w:type="dxa" w:w="2351"/>
          </w:tcPr>
          <w:p>
            <w:r>
              <w:t>0.92</w:t>
            </w:r>
          </w:p>
        </w:tc>
        <w:tc>
          <w:tcPr>
            <w:tcW w:type="dxa" w:w="2351"/>
          </w:tcPr>
          <w:p>
            <w:r>
              <w:t>OK</w:t>
            </w:r>
          </w:p>
        </w:tc>
      </w:tr>
      <w:tr>
        <w:tc>
          <w:tcPr>
            <w:tcW w:type="dxa" w:w="2351"/>
          </w:tcPr>
          <w:p>
            <w:r>
              <w:t>Latência p99</w:t>
            </w:r>
          </w:p>
        </w:tc>
        <w:tc>
          <w:tcPr>
            <w:tcW w:type="dxa" w:w="2351"/>
          </w:tcPr>
          <w:p>
            <w:r>
              <w:t>≤ 300ms</w:t>
            </w:r>
          </w:p>
        </w:tc>
        <w:tc>
          <w:tcPr>
            <w:tcW w:type="dxa" w:w="2351"/>
          </w:tcPr>
          <w:p>
            <w:r>
              <w:t>245ms</w:t>
            </w:r>
          </w:p>
        </w:tc>
        <w:tc>
          <w:tcPr>
            <w:tcW w:type="dxa" w:w="2351"/>
          </w:tcPr>
          <w:p>
            <w:r>
              <w:t>OK</w:t>
            </w:r>
          </w:p>
        </w:tc>
      </w:tr>
      <w:tr>
        <w:tc>
          <w:tcPr>
            <w:tcW w:type="dxa" w:w="2351"/>
          </w:tcPr>
          <w:p>
            <w:r>
              <w:t>Vulnerabilidades CVSS≥7</w:t>
            </w:r>
          </w:p>
        </w:tc>
        <w:tc>
          <w:tcPr>
            <w:tcW w:type="dxa" w:w="2351"/>
          </w:tcPr>
          <w:p>
            <w:r>
              <w:t>0</w:t>
            </w:r>
          </w:p>
        </w:tc>
        <w:tc>
          <w:tcPr>
            <w:tcW w:type="dxa" w:w="2351"/>
          </w:tcPr>
          <w:p>
            <w:r>
              <w:t>0</w:t>
            </w:r>
          </w:p>
        </w:tc>
        <w:tc>
          <w:tcPr>
            <w:tcW w:type="dxa" w:w="2351"/>
          </w:tcPr>
          <w:p>
            <w:r>
              <w:t>OK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6. Avaliação da supervisão humana (Art. 14)</w:t>
      </w:r>
    </w:p>
    <w:p>
      <w:r>
        <w:rPr>
          <w:sz w:val="22"/>
        </w:rPr>
        <w:t>Sistema desenhado com 5 camadas de supervisão humana - ver anexo "Plano de Supervisão Humana v3.2".</w:t>
      </w:r>
    </w:p>
    <w:p>
      <w:pPr>
        <w:pStyle w:val="Heading2"/>
      </w:pPr>
      <w:r>
        <w:rPr>
          <w:rFonts w:ascii="Calibri" w:hAnsi="Calibri"/>
          <w:color w:val="0F172A"/>
        </w:rPr>
        <w:t>7. Modificações pré-determinadas (Art. 15)</w:t>
      </w:r>
    </w:p>
    <w:p>
      <w:r>
        <w:rPr>
          <w:sz w:val="22"/>
        </w:rPr>
        <w:t>Pipeline de retreino mensal: novos dados Q anterior + holdout fixo. Cada release passa por:</w:t>
      </w:r>
    </w:p>
    <w:p>
      <w:pPr>
        <w:pStyle w:val="ListBullet"/>
        <w:ind w:left="283"/>
      </w:pPr>
      <w:r>
        <w:rPr>
          <w:sz w:val="21"/>
        </w:rPr>
        <w:t>☑  Validação A/B em shadow mode por 2 semanas</w:t>
      </w:r>
    </w:p>
    <w:p>
      <w:pPr>
        <w:pStyle w:val="ListBullet"/>
        <w:ind w:left="283"/>
      </w:pPr>
      <w:r>
        <w:rPr>
          <w:sz w:val="21"/>
        </w:rPr>
        <w:t>☑  Aprovação do Comité de Qualidade Clínica</w:t>
      </w:r>
    </w:p>
    <w:p>
      <w:pPr>
        <w:pStyle w:val="ListBullet"/>
        <w:ind w:left="283"/>
      </w:pPr>
      <w:r>
        <w:rPr>
          <w:sz w:val="21"/>
        </w:rPr>
        <w:t>☑  Canary release em 1 hospital por 7 dias</w:t>
      </w:r>
    </w:p>
    <w:p>
      <w:pPr>
        <w:pStyle w:val="ListBullet"/>
        <w:ind w:left="283"/>
      </w:pPr>
      <w:r>
        <w:rPr>
          <w:sz w:val="21"/>
        </w:rPr>
        <w:t>☑  Rollout gradual com possibilidade de rollback automático</w:t>
      </w:r>
    </w:p>
    <w:p>
      <w:pPr>
        <w:pStyle w:val="Heading2"/>
      </w:pPr>
      <w:r>
        <w:rPr>
          <w:rFonts w:ascii="Calibri" w:hAnsi="Calibri"/>
          <w:color w:val="0F172A"/>
        </w:rPr>
        <w:t>8. Normas harmonizadas aplicadas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Norma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Tema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Aplicação</w:t>
            </w:r>
          </w:p>
        </w:tc>
      </w:tr>
      <w:tr>
        <w:tc>
          <w:tcPr>
            <w:tcW w:type="dxa" w:w="3135"/>
          </w:tcPr>
          <w:p>
            <w:r>
              <w:t>ISO/IEC 42001:2023</w:t>
            </w:r>
          </w:p>
        </w:tc>
        <w:tc>
          <w:tcPr>
            <w:tcW w:type="dxa" w:w="3135"/>
          </w:tcPr>
          <w:p>
            <w:r>
              <w:t>Sistema de Gestão de IA</w:t>
            </w:r>
          </w:p>
        </w:tc>
        <w:tc>
          <w:tcPr>
            <w:tcW w:type="dxa" w:w="3135"/>
          </w:tcPr>
          <w:p>
            <w:r>
              <w:t>Aplicada integralmente</w:t>
            </w:r>
          </w:p>
        </w:tc>
      </w:tr>
      <w:tr>
        <w:tc>
          <w:tcPr>
            <w:tcW w:type="dxa" w:w="3135"/>
          </w:tcPr>
          <w:p>
            <w:r>
              <w:t>ISO/IEC 23894:2023</w:t>
            </w:r>
          </w:p>
        </w:tc>
        <w:tc>
          <w:tcPr>
            <w:tcW w:type="dxa" w:w="3135"/>
          </w:tcPr>
          <w:p>
            <w:r>
              <w:t>Gestão de risco em IA</w:t>
            </w:r>
          </w:p>
        </w:tc>
        <w:tc>
          <w:tcPr>
            <w:tcW w:type="dxa" w:w="3135"/>
          </w:tcPr>
          <w:p>
            <w:r>
              <w:t>Aplicada integralmente</w:t>
            </w:r>
          </w:p>
        </w:tc>
      </w:tr>
      <w:tr>
        <w:tc>
          <w:tcPr>
            <w:tcW w:type="dxa" w:w="3135"/>
          </w:tcPr>
          <w:p>
            <w:r>
              <w:t>ISO 13485:2016</w:t>
            </w:r>
          </w:p>
        </w:tc>
        <w:tc>
          <w:tcPr>
            <w:tcW w:type="dxa" w:w="3135"/>
          </w:tcPr>
          <w:p>
            <w:r>
              <w:t>Dispositivos médicos</w:t>
            </w:r>
          </w:p>
        </w:tc>
        <w:tc>
          <w:tcPr>
            <w:tcW w:type="dxa" w:w="3135"/>
          </w:tcPr>
          <w:p>
            <w:r>
              <w:t>Aplicada (parte aplicável a SaMD)</w:t>
            </w:r>
          </w:p>
        </w:tc>
      </w:tr>
      <w:tr>
        <w:tc>
          <w:tcPr>
            <w:tcW w:type="dxa" w:w="3135"/>
          </w:tcPr>
          <w:p>
            <w:r>
              <w:t>IEC 62304:2006+A1:2015</w:t>
            </w:r>
          </w:p>
        </w:tc>
        <w:tc>
          <w:tcPr>
            <w:tcW w:type="dxa" w:w="3135"/>
          </w:tcPr>
          <w:p>
            <w:r>
              <w:t>Software médico - ciclo de vida</w:t>
            </w:r>
          </w:p>
        </w:tc>
        <w:tc>
          <w:tcPr>
            <w:tcW w:type="dxa" w:w="3135"/>
          </w:tcPr>
          <w:p>
            <w:r>
              <w:t>Aplicada</w:t>
            </w:r>
          </w:p>
        </w:tc>
      </w:tr>
      <w:tr>
        <w:tc>
          <w:tcPr>
            <w:tcW w:type="dxa" w:w="3135"/>
          </w:tcPr>
          <w:p>
            <w:r>
              <w:t>ISO 27001:2022</w:t>
            </w:r>
          </w:p>
        </w:tc>
        <w:tc>
          <w:tcPr>
            <w:tcW w:type="dxa" w:w="3135"/>
          </w:tcPr>
          <w:p>
            <w:r>
              <w:t>Segurança da informação</w:t>
            </w:r>
          </w:p>
        </w:tc>
        <w:tc>
          <w:tcPr>
            <w:tcW w:type="dxa" w:w="3135"/>
          </w:tcPr>
          <w:p>
            <w:r>
              <w:t>Aplicada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9. Cópia da Declaração UE de Conformidade</w:t>
      </w:r>
    </w:p>
    <w:p>
      <w:r>
        <w:rPr>
          <w:sz w:val="22"/>
        </w:rPr>
        <w:t>Anexa em apêndice B (referência DOC-CONF-2026-001 emitida em 2026-09-12 com base no Anexo VII).</w:t>
      </w:r>
    </w:p>
    <w:p>
      <w:pPr>
        <w:pStyle w:val="Heading2"/>
      </w:pPr>
      <w:r>
        <w:rPr>
          <w:rFonts w:ascii="Calibri" w:hAnsi="Calibri"/>
          <w:color w:val="0F172A"/>
        </w:rPr>
        <w:t>10. Plano de monitorização pós-mercado (Art. 72)</w:t>
      </w:r>
    </w:p>
    <w:p>
      <w:r>
        <w:rPr>
          <w:sz w:val="22"/>
        </w:rPr>
        <w:t>Ver documento separado "Plano de Monitorização Pós-Mercado MedTriage v3.2" (referência PMM-MED-2026-001).</w:t>
      </w:r>
    </w:p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