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GPAI Model Documentation Form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Formulário-modelo conforme Art. 53(1)(a)(b) - informação para downstream providers e AI Office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53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GPAI Model Documentation Form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Pré-preenchido com exemplo de modelo GPAI ficcional "TM-Med-7B" da TechMed (caso teórico para fine-tuning interno).</w:t>
      </w:r>
    </w:p>
    <w:p>
      <w:pPr>
        <w:pStyle w:val="Heading2"/>
      </w:pPr>
      <w:r>
        <w:rPr>
          <w:rFonts w:ascii="Calibri" w:hAnsi="Calibri"/>
          <w:color w:val="0F172A"/>
        </w:rPr>
        <w:t>1. Identificação do modelo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Designação do modelo</w:t>
            </w:r>
          </w:p>
        </w:tc>
        <w:tc>
          <w:tcPr>
            <w:tcW w:type="dxa" w:w="6236"/>
          </w:tcPr>
          <w:p>
            <w:r>
              <w:t>TM-Med-7B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Versão</w:t>
            </w:r>
          </w:p>
        </w:tc>
        <w:tc>
          <w:tcPr>
            <w:tcW w:type="dxa" w:w="6236"/>
          </w:tcPr>
          <w:p>
            <w:r>
              <w:t>1.0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Tipo de modelo</w:t>
            </w:r>
          </w:p>
        </w:tc>
        <w:tc>
          <w:tcPr>
            <w:tcW w:type="dxa" w:w="6236"/>
          </w:tcPr>
          <w:p>
            <w:r>
              <w:t>Large Language Model - fine-tuned do LLaMA 3 8B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Fornecedor</w:t>
            </w:r>
          </w:p>
        </w:tc>
        <w:tc>
          <w:tcPr>
            <w:tcW w:type="dxa" w:w="6236"/>
          </w:tcPr>
          <w:p>
            <w:r>
              <w:t>TechMed Solutions, S.A.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Data de release</w:t>
            </w:r>
          </w:p>
        </w:tc>
        <w:tc>
          <w:tcPr>
            <w:tcW w:type="dxa" w:w="6236"/>
          </w:tcPr>
          <w:p>
            <w:r>
              <w:t>2026-Q3 (planeada)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Hash de pesos (sha256)</w:t>
            </w:r>
          </w:p>
        </w:tc>
        <w:tc>
          <w:tcPr>
            <w:tcW w:type="dxa" w:w="6236"/>
          </w:tcPr>
          <w:p>
            <w:r>
              <w:t>abc123...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Licença</w:t>
            </w:r>
          </w:p>
        </w:tc>
        <w:tc>
          <w:tcPr>
            <w:tcW w:type="dxa" w:w="6236"/>
          </w:tcPr>
          <w:p>
            <w:r>
              <w:t>Llama 3 Community License (downstream restrictions aplicáveis)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Risco sistémico (Art. 51)</w:t>
            </w:r>
          </w:p>
        </w:tc>
        <w:tc>
          <w:tcPr>
            <w:tcW w:type="dxa" w:w="6236"/>
          </w:tcPr>
          <w:p>
            <w:r>
              <w:t>Não - treino estimado em 5×10²³ FLOPs (abaixo do limiar 10²⁵)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Capacidades e limitações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Capacidades</w:t>
            </w:r>
          </w:p>
        </w:tc>
        <w:tc>
          <w:tcPr>
            <w:tcW w:type="dxa" w:w="6236"/>
          </w:tcPr>
          <w:p>
            <w:r>
              <w:t>Geração de texto em PT-PT (foco médico/clínico); summarização de relatórios clínicos; classificação ICD-10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Limitações</w:t>
            </w:r>
          </w:p>
        </w:tc>
        <w:tc>
          <w:tcPr>
            <w:tcW w:type="dxa" w:w="6236"/>
          </w:tcPr>
          <w:p>
            <w:r>
              <w:t>(i) Não fornece diagnóstico - apenas suporte; (ii) pode alucinar referências; (iii) cobertura limitada de doenças raras (&lt;1% prevalência); (iv) testado apenas em PT-PT (não validado para PT-BR ou ES); (v) cutoff de conhecimento médico: 2024-12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Casos de uso permitidos</w:t>
            </w:r>
          </w:p>
        </w:tc>
        <w:tc>
          <w:tcPr>
            <w:tcW w:type="dxa" w:w="6236"/>
          </w:tcPr>
          <w:p>
            <w:r>
              <w:t>Suporte ao MedTriage (geração de explicações); summarização de notas clínicas (com revisão humana obrigatória)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Casos de uso proibidos</w:t>
            </w:r>
          </w:p>
        </w:tc>
        <w:tc>
          <w:tcPr>
            <w:tcW w:type="dxa" w:w="6236"/>
          </w:tcPr>
          <w:p>
            <w:r>
              <w:t>Diagnóstico autónomo; aconselhamento direto a pacientes; uso em decisões de vida/morte sem supervisão clínica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3. Processo de treino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Modelo base</w:t>
            </w:r>
          </w:p>
        </w:tc>
        <w:tc>
          <w:tcPr>
            <w:tcW w:type="dxa" w:w="6236"/>
          </w:tcPr>
          <w:p>
            <w:r>
              <w:t>Meta LLaMA 3 8B (modelo aberto, licença Llama 3 Community)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Fine-tuning data</w:t>
            </w:r>
          </w:p>
        </w:tc>
        <w:tc>
          <w:tcPr>
            <w:tcW w:type="dxa" w:w="6236"/>
          </w:tcPr>
          <w:p>
            <w:r>
              <w:t>MedTriage-LLM-Train-2024 (1.2M pares clínicos PT-PT, anonimizados)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Compute estimado</w:t>
            </w:r>
          </w:p>
        </w:tc>
        <w:tc>
          <w:tcPr>
            <w:tcW w:type="dxa" w:w="6236"/>
          </w:tcPr>
          <w:p>
            <w:r>
              <w:t>5×10²³ FLOPs (aproximadamente 200 GPU-dias A100)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Período de treino</w:t>
            </w:r>
          </w:p>
        </w:tc>
        <w:tc>
          <w:tcPr>
            <w:tcW w:type="dxa" w:w="6236"/>
          </w:tcPr>
          <w:p>
            <w:r>
              <w:t>2026-05-01 a 2026-06-15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Avaliação</w:t>
            </w:r>
          </w:p>
        </w:tc>
        <w:tc>
          <w:tcPr>
            <w:tcW w:type="dxa" w:w="6236"/>
          </w:tcPr>
          <w:p>
            <w:r>
              <w:t>BLEU em summarização: 32.4; F1 em ICD-10 top-5: 0.87; Hallucination rate (sample 1000): 4.2% (vs 12% baseline)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Hardware/software</w:t>
            </w:r>
          </w:p>
        </w:tc>
        <w:tc>
          <w:tcPr>
            <w:tcW w:type="dxa" w:w="6236"/>
          </w:tcPr>
          <w:p>
            <w:r>
              <w:t>8× NVIDIA A100 80GB; PyTorch 2.3; DeepSpeed ZeRO-3; HuggingFace Transformers 4.42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4. Síntese dos dados de treino (Art. 53(1)(d) - público)</w:t>
      </w:r>
    </w:p>
    <w:p>
      <w:r>
        <w:rPr>
          <w:sz w:val="22"/>
        </w:rPr>
        <w:t>Ver template separado "Sufficiently Detailed Summary of Training Data" (referência STD-TM-MED-7B).</w:t>
      </w:r>
    </w:p>
    <w:p>
      <w:pPr>
        <w:pStyle w:val="Heading2"/>
      </w:pPr>
      <w:r>
        <w:rPr>
          <w:rFonts w:ascii="Calibri" w:hAnsi="Calibri"/>
          <w:color w:val="0F172A"/>
        </w:rPr>
        <w:t>5. Política de direitos de autor (Art. 53(1)(c))</w:t>
      </w:r>
    </w:p>
    <w:p>
      <w:r>
        <w:rPr>
          <w:sz w:val="22"/>
        </w:rPr>
        <w:t>TechMed implementa: (i) respeito de robots.txt e meta tags no scraping; (ii) opt-out via formulário público; (iii) DPA com fontes de dados clínicos; (iv) listagem de fontes excluídas (anexo). Ver POL-COPY-001.</w:t>
      </w:r>
    </w:p>
    <w:p>
      <w:pPr>
        <w:pStyle w:val="Heading2"/>
      </w:pPr>
      <w:r>
        <w:rPr>
          <w:rFonts w:ascii="Calibri" w:hAnsi="Calibri"/>
          <w:color w:val="0F172A"/>
        </w:rPr>
        <w:t>6. Avaliação de risco sistémico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Treino &gt; 10²⁵ FLOPs?</w:t>
            </w:r>
          </w:p>
        </w:tc>
        <w:tc>
          <w:tcPr>
            <w:tcW w:type="dxa" w:w="6236"/>
          </w:tcPr>
          <w:p>
            <w:r>
              <w:t>Não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Designado pela Comissão?</w:t>
            </w:r>
          </w:p>
        </w:tc>
        <w:tc>
          <w:tcPr>
            <w:tcW w:type="dxa" w:w="6236"/>
          </w:tcPr>
          <w:p>
            <w:r>
              <w:t>Não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Conclusão</w:t>
            </w:r>
          </w:p>
        </w:tc>
        <w:tc>
          <w:tcPr>
            <w:tcW w:type="dxa" w:w="6236"/>
          </w:tcPr>
          <w:p>
            <w:r>
              <w:t>Não-sistémico - apenas obrigações Art. 53 (não Art. 55)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7. Compromissos do fornecedor</w:t>
      </w:r>
    </w:p>
    <w:p>
      <w:pPr>
        <w:pStyle w:val="ListBullet"/>
        <w:ind w:left="283"/>
      </w:pPr>
      <w:r>
        <w:rPr>
          <w:sz w:val="21"/>
        </w:rPr>
        <w:t>☑  Manter informação atualizada em caso de modificações</w:t>
      </w:r>
    </w:p>
    <w:p>
      <w:pPr>
        <w:pStyle w:val="ListBullet"/>
        <w:ind w:left="283"/>
      </w:pPr>
      <w:r>
        <w:rPr>
          <w:sz w:val="21"/>
        </w:rPr>
        <w:t>☑  Disponibilizar a downstream providers em prazo razoável</w:t>
      </w:r>
    </w:p>
    <w:p>
      <w:pPr>
        <w:pStyle w:val="ListBullet"/>
        <w:ind w:left="283"/>
      </w:pPr>
      <w:r>
        <w:rPr>
          <w:sz w:val="21"/>
        </w:rPr>
        <w:t>☑  Cooperar com AI Office em pedidos de informação (Art. 91)</w:t>
      </w:r>
    </w:p>
    <w:p>
      <w:pPr>
        <w:pStyle w:val="ListBullet"/>
        <w:ind w:left="283"/>
      </w:pPr>
      <w:r>
        <w:rPr>
          <w:sz w:val="21"/>
        </w:rPr>
        <w:t>☐  Adesão ao Code of Practice GPAI (Art. 56) - em avaliação</w:t>
      </w:r>
    </w:p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