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Sufficiently Detailed Summary of Training Data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Síntese pública conforme Art. 53(1)(d) - template inspirado no Model Documentation Form do AI Office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53(1)(d)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Sufficiently Detailed Summary of Training Data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Síntese pública do dataset de treino do TM-Med-7B.</w:t>
      </w:r>
    </w:p>
    <w:p>
      <w:pPr>
        <w:pStyle w:val="Heading2"/>
      </w:pPr>
      <w:r>
        <w:rPr>
          <w:rFonts w:ascii="Calibri" w:hAnsi="Calibri"/>
          <w:color w:val="0F172A"/>
        </w:rPr>
        <w:t>1. Categorias de dados utilizadas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Categoria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Fontes principais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% volume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Cobertura</w:t>
            </w:r>
          </w:p>
        </w:tc>
      </w:tr>
      <w:tr>
        <w:tc>
          <w:tcPr>
            <w:tcW w:type="dxa" w:w="2351"/>
          </w:tcPr>
          <w:p>
            <w:r>
              <w:t>Texto público (web)</w:t>
            </w:r>
          </w:p>
        </w:tc>
        <w:tc>
          <w:tcPr>
            <w:tcW w:type="dxa" w:w="2351"/>
          </w:tcPr>
          <w:p>
            <w:r>
              <w:t>Wikipedia PT, Common Crawl PT (filtrado)</w:t>
            </w:r>
          </w:p>
        </w:tc>
        <w:tc>
          <w:tcPr>
            <w:tcW w:type="dxa" w:w="2351"/>
          </w:tcPr>
          <w:p>
            <w:r>
              <w:t>~80%</w:t>
            </w:r>
          </w:p>
        </w:tc>
        <w:tc>
          <w:tcPr>
            <w:tcW w:type="dxa" w:w="2351"/>
          </w:tcPr>
          <w:p>
            <w:r>
              <w:t>Web pública 2018-2024</w:t>
            </w:r>
          </w:p>
        </w:tc>
      </w:tr>
      <w:tr>
        <w:tc>
          <w:tcPr>
            <w:tcW w:type="dxa" w:w="2351"/>
          </w:tcPr>
          <w:p>
            <w:r>
              <w:t>Literatura médica</w:t>
            </w:r>
          </w:p>
        </w:tc>
        <w:tc>
          <w:tcPr>
            <w:tcW w:type="dxa" w:w="2351"/>
          </w:tcPr>
          <w:p>
            <w:r>
              <w:t>PubMed Open Access, RCAAP (artigos PT)</w:t>
            </w:r>
          </w:p>
        </w:tc>
        <w:tc>
          <w:tcPr>
            <w:tcW w:type="dxa" w:w="2351"/>
          </w:tcPr>
          <w:p>
            <w:r>
              <w:t>~12%</w:t>
            </w:r>
          </w:p>
        </w:tc>
        <w:tc>
          <w:tcPr>
            <w:tcW w:type="dxa" w:w="2351"/>
          </w:tcPr>
          <w:p>
            <w:r>
              <w:t>Acesso aberto + DOI</w:t>
            </w:r>
          </w:p>
        </w:tc>
      </w:tr>
      <w:tr>
        <w:tc>
          <w:tcPr>
            <w:tcW w:type="dxa" w:w="2351"/>
          </w:tcPr>
          <w:p>
            <w:r>
              <w:t>Notas clínicas anonimizadas</w:t>
            </w:r>
          </w:p>
        </w:tc>
        <w:tc>
          <w:tcPr>
            <w:tcW w:type="dxa" w:w="2351"/>
          </w:tcPr>
          <w:p>
            <w:r>
              <w:t>TechMed datasets (DPA com hospitais parceiros)</w:t>
            </w:r>
          </w:p>
        </w:tc>
        <w:tc>
          <w:tcPr>
            <w:tcW w:type="dxa" w:w="2351"/>
          </w:tcPr>
          <w:p>
            <w:r>
              <w:t>~5%</w:t>
            </w:r>
          </w:p>
        </w:tc>
        <w:tc>
          <w:tcPr>
            <w:tcW w:type="dxa" w:w="2351"/>
          </w:tcPr>
          <w:p>
            <w:r>
              <w:t>2018-2023, anonimizado</w:t>
            </w:r>
          </w:p>
        </w:tc>
      </w:tr>
      <w:tr>
        <w:tc>
          <w:tcPr>
            <w:tcW w:type="dxa" w:w="2351"/>
          </w:tcPr>
          <w:p>
            <w:r>
              <w:t>Código/documentação técnica</w:t>
            </w:r>
          </w:p>
        </w:tc>
        <w:tc>
          <w:tcPr>
            <w:tcW w:type="dxa" w:w="2351"/>
          </w:tcPr>
          <w:p>
            <w:r>
              <w:t>GitHub público (filtros licença)</w:t>
            </w:r>
          </w:p>
        </w:tc>
        <w:tc>
          <w:tcPr>
            <w:tcW w:type="dxa" w:w="2351"/>
          </w:tcPr>
          <w:p>
            <w:r>
              <w:t>~3%</w:t>
            </w:r>
          </w:p>
        </w:tc>
        <w:tc>
          <w:tcPr>
            <w:tcW w:type="dxa" w:w="2351"/>
          </w:tcPr>
          <w:p>
            <w:r>
              <w:t>Licenças permissivas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Volume e período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Volume total (tokens)</w:t>
            </w:r>
          </w:p>
        </w:tc>
        <w:tc>
          <w:tcPr>
            <w:tcW w:type="dxa" w:w="6236"/>
          </w:tcPr>
          <w:p>
            <w:r>
              <w:t>~150 mil milhões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Volume após deduplicação</w:t>
            </w:r>
          </w:p>
        </w:tc>
        <w:tc>
          <w:tcPr>
            <w:tcW w:type="dxa" w:w="6236"/>
          </w:tcPr>
          <w:p>
            <w:r>
              <w:t>~95 mil milhões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Período coberto</w:t>
            </w:r>
          </w:p>
        </w:tc>
        <w:tc>
          <w:tcPr>
            <w:tcW w:type="dxa" w:w="6236"/>
          </w:tcPr>
          <w:p>
            <w:r>
              <w:t>2018-2024 (média 2022)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Idiomas</w:t>
            </w:r>
          </w:p>
        </w:tc>
        <w:tc>
          <w:tcPr>
            <w:tcW w:type="dxa" w:w="6236"/>
          </w:tcPr>
          <w:p>
            <w:r>
              <w:t>PT-PT (85%), PT-BR (10%), EN (5% - suporte de termos médicos)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Tratamento aplicado</w:t>
      </w:r>
    </w:p>
    <w:p>
      <w:pPr>
        <w:pStyle w:val="ListBullet"/>
        <w:ind w:left="283"/>
      </w:pPr>
      <w:r>
        <w:rPr>
          <w:sz w:val="21"/>
        </w:rPr>
        <w:t>☑  Filtragem de qualidade (linguagem, comprimento, perplexidade)</w:t>
      </w:r>
    </w:p>
    <w:p>
      <w:pPr>
        <w:pStyle w:val="ListBullet"/>
        <w:ind w:left="283"/>
      </w:pPr>
      <w:r>
        <w:rPr>
          <w:sz w:val="21"/>
        </w:rPr>
        <w:t>☑  Deduplicação exata e por hash MinHash</w:t>
      </w:r>
    </w:p>
    <w:p>
      <w:pPr>
        <w:pStyle w:val="ListBullet"/>
        <w:ind w:left="283"/>
      </w:pPr>
      <w:r>
        <w:rPr>
          <w:sz w:val="21"/>
        </w:rPr>
        <w:t>☑  Remoção de PII (Presidio + regras custom)</w:t>
      </w:r>
    </w:p>
    <w:p>
      <w:pPr>
        <w:pStyle w:val="ListBullet"/>
        <w:ind w:left="283"/>
      </w:pPr>
      <w:r>
        <w:rPr>
          <w:sz w:val="21"/>
        </w:rPr>
        <w:t>☑  Filtragem de conteúdo tóxico (Detoxify ≥0.5)</w:t>
      </w:r>
    </w:p>
    <w:p>
      <w:pPr>
        <w:pStyle w:val="ListBullet"/>
        <w:ind w:left="283"/>
      </w:pPr>
      <w:r>
        <w:rPr>
          <w:sz w:val="21"/>
        </w:rPr>
        <w:t>☑  Respeito de robots.txt no scraping</w:t>
      </w:r>
    </w:p>
    <w:p>
      <w:pPr>
        <w:pStyle w:val="ListBullet"/>
        <w:ind w:left="283"/>
      </w:pPr>
      <w:r>
        <w:rPr>
          <w:sz w:val="21"/>
        </w:rPr>
        <w:t>☑  Honra de pedidos de opt-out (canal público + emails recebidos)</w:t>
      </w:r>
    </w:p>
    <w:p>
      <w:pPr>
        <w:pStyle w:val="Heading2"/>
      </w:pPr>
      <w:r>
        <w:rPr>
          <w:rFonts w:ascii="Calibri" w:hAnsi="Calibri"/>
          <w:color w:val="0F172A"/>
        </w:rPr>
        <w:t>4. Direitos de autor - fontes excluídas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Entidade / fonte</w:t>
            </w:r>
          </w:p>
        </w:tc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Razão</w:t>
            </w:r>
          </w:p>
        </w:tc>
      </w:tr>
      <w:tr>
        <w:tc>
          <w:tcPr>
            <w:tcW w:type="dxa" w:w="4703"/>
          </w:tcPr>
          <w:p>
            <w:r>
              <w:t>Editorial Médica Lda.</w:t>
            </w:r>
          </w:p>
        </w:tc>
        <w:tc>
          <w:tcPr>
            <w:tcW w:type="dxa" w:w="4703"/>
          </w:tcPr>
          <w:p>
            <w:r>
              <w:t>Pedido formal opt-out 2025-09-15</w:t>
            </w:r>
          </w:p>
        </w:tc>
      </w:tr>
      <w:tr>
        <w:tc>
          <w:tcPr>
            <w:tcW w:type="dxa" w:w="4703"/>
          </w:tcPr>
          <w:p>
            <w:r>
              <w:t>NewsCorp PT</w:t>
            </w:r>
          </w:p>
        </w:tc>
        <w:tc>
          <w:tcPr>
            <w:tcW w:type="dxa" w:w="4703"/>
          </w:tcPr>
          <w:p>
            <w:r>
              <w:t>Robots.txt disallow + opt-out via meta tag</w:t>
            </w:r>
          </w:p>
        </w:tc>
      </w:tr>
      <w:tr>
        <w:tc>
          <w:tcPr>
            <w:tcW w:type="dxa" w:w="4703"/>
          </w:tcPr>
          <w:p>
            <w:r>
              <w:t>25 outras entidades</w:t>
            </w:r>
          </w:p>
        </w:tc>
        <w:tc>
          <w:tcPr>
            <w:tcW w:type="dxa" w:w="4703"/>
          </w:tcPr>
          <w:p>
            <w:r>
              <w:t>Listagem completa: techmed-solutions.pt/ai/training-optout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Salvaguardas para conteúdo protegido</w:t>
      </w:r>
    </w:p>
    <w:p>
      <w:r>
        <w:rPr>
          <w:sz w:val="22"/>
        </w:rPr>
        <w:t>TechMed implementa: (i) filtros de licença (rejeita CC-BY-NC, GPL-only, proprietário); (ii) verificação contra lista negra de obras protegidas conhecidas (NYT corpus, etc.); (iii) reservation of rights honoring conforme Art. 4 da Diretiva 2019/790; (iv) processo de gestão de reclamações (resposta em 30 dias).</w:t>
      </w:r>
    </w:p>
    <w:p>
      <w:pPr>
        <w:pStyle w:val="Heading2"/>
      </w:pPr>
      <w:r>
        <w:rPr>
          <w:rFonts w:ascii="Calibri" w:hAnsi="Calibri"/>
          <w:color w:val="0F172A"/>
        </w:rPr>
        <w:t>6. Disponibilidade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Localização pública</w:t>
            </w:r>
          </w:p>
        </w:tc>
        <w:tc>
          <w:tcPr>
            <w:tcW w:type="dxa" w:w="6236"/>
          </w:tcPr>
          <w:p>
            <w:r>
              <w:t>www.techmed-solutions.pt/ai/training-data-summary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Versão</w:t>
            </w:r>
          </w:p>
        </w:tc>
        <w:tc>
          <w:tcPr>
            <w:tcW w:type="dxa" w:w="6236"/>
          </w:tcPr>
          <w:p>
            <w:r>
              <w:t>1.0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 de publicação</w:t>
            </w:r>
          </w:p>
        </w:tc>
        <w:tc>
          <w:tcPr>
            <w:tcW w:type="dxa" w:w="6236"/>
          </w:tcPr>
          <w:p>
            <w:r>
              <w:t>2026-Q3 (planeada)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Atualização</w:t>
            </w:r>
          </w:p>
        </w:tc>
        <w:tc>
          <w:tcPr>
            <w:tcW w:type="dxa" w:w="6236"/>
          </w:tcPr>
          <w:p>
            <w:r>
              <w:t>Em caso de mudança material das fontes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