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0"/>
      </w:pPr>
    </w:p>
    <w:p>
      <w:pPr>
        <w:spacing w:after="400"/>
        <w:jc w:val="center"/>
      </w:pPr>
      <w:r>
        <w:rPr>
          <w:rFonts w:ascii="Calibri" w:hAnsi="Calibri"/>
          <w:b/>
          <w:color w:val="0891B2"/>
          <w:sz w:val="20"/>
        </w:rPr>
        <w:t>AI ACT PORTUGAL  ·  TEMPLATE PROFISSIONAL</w:t>
      </w:r>
    </w:p>
    <w:p>
      <w:pPr>
        <w:spacing w:after="800"/>
        <w:jc w:val="center"/>
      </w:pPr>
      <w:r>
        <w:rPr>
          <w:rFonts w:ascii="Calibri" w:hAnsi="Calibri"/>
          <w:i/>
          <w:color w:val="5C6B7A"/>
          <w:sz w:val="22"/>
        </w:rPr>
        <w:t>[Nome da organização]</w:t>
      </w:r>
    </w:p>
    <w:p>
      <w:pPr>
        <w:spacing w:after="300"/>
        <w:jc w:val="center"/>
      </w:pPr>
      <w:r>
        <w:rPr>
          <w:rFonts w:ascii="Calibri" w:hAnsi="Calibri"/>
          <w:b/>
          <w:color w:val="0F172A"/>
          <w:sz w:val="56"/>
        </w:rPr>
        <w:t>Job Description - AI Officer</w:t>
      </w:r>
    </w:p>
    <w:p>
      <w:pPr>
        <w:jc w:val="center"/>
      </w:pPr>
      <w:r>
        <w:rPr>
          <w:rFonts w:ascii="Calibri" w:hAnsi="Calibri"/>
          <w:color w:val="374151"/>
          <w:sz w:val="26"/>
        </w:rPr>
        <w:t>Descritivo do cargo de AI Officer / Responsável de Conformidade IA</w:t>
      </w:r>
    </w:p>
    <w:p>
      <w:pPr>
        <w:spacing w:after="1600" w:before="160"/>
        <w:jc w:val="center"/>
      </w:pPr>
      <w:r>
        <w:rPr>
          <w:rFonts w:ascii="Calibri" w:hAnsi="Calibri"/>
          <w:b/>
          <w:color w:val="EA580C"/>
          <w:sz w:val="22"/>
        </w:rPr>
        <w:t>Boa prática + Art. 17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Versão: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1.0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Data de 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Maio de 2026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Autor: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 Act Portugal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Publicação: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aiact-portugal.pt</w:t>
            </w:r>
          </w:p>
        </w:tc>
      </w:tr>
      <w:tr>
        <w:tc>
          <w:tcPr>
            <w:tcW w:type="dxa" w:w="2551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rFonts w:ascii="Calibri" w:hAnsi="Calibri"/>
                <w:b/>
                <w:color w:val="0F172A"/>
                <w:sz w:val="22"/>
              </w:rPr>
              <w:t>Base legal:</w:t>
            </w:r>
          </w:p>
        </w:tc>
        <w:tc>
          <w:tcPr>
            <w:tcW w:type="dxa" w:w="4535"/>
            <w:tcBorders>
              <w:top w:val="nil"/>
              <w:left w:val="nil"/>
              <w:bottom w:val="nil"/>
              <w:right w:val="nil"/>
            </w:tcBorders>
          </w:tcPr>
          <w:p>
            <w:r>
              <w:rPr>
                <w:rFonts w:ascii="Calibri" w:hAnsi="Calibri"/>
                <w:color w:val="374151"/>
                <w:sz w:val="22"/>
              </w:rPr>
              <w:t>Regulamento (UE) 2024/1689</w:t>
            </w:r>
          </w:p>
        </w:tc>
      </w:tr>
    </w:tbl>
    <w:p>
      <w:pPr>
        <w:spacing w:after="1400"/>
      </w:pP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Modelo gratuito disponibilizado por</w:t>
      </w:r>
    </w:p>
    <w:p>
      <w:pPr>
        <w:jc w:val="center"/>
      </w:pPr>
      <w:r>
        <w:rPr>
          <w:rFonts w:ascii="Calibri" w:hAnsi="Calibri"/>
          <w:b/>
          <w:color w:val="0891B2"/>
          <w:sz w:val="24"/>
        </w:rPr>
        <w:t>https://aiact-portugal.pt</w:t>
      </w:r>
    </w:p>
    <w:p>
      <w:pPr>
        <w:jc w:val="center"/>
      </w:pPr>
      <w:r>
        <w:rPr>
          <w:rFonts w:ascii="Calibri" w:hAnsi="Calibri"/>
          <w:i/>
          <w:color w:val="5C6B7A"/>
          <w:sz w:val="18"/>
        </w:rPr>
        <w:t>Conformidade com o Regulamento (UE) 2024/1689 (AI Act)</w:t>
      </w:r>
    </w:p>
    <w:p>
      <w:r>
        <w:br w:type="page"/>
      </w:r>
    </w:p>
    <w:p>
      <w:pPr>
        <w:pStyle w:val="Heading1"/>
      </w:pPr>
      <w:r>
        <w:rPr>
          <w:color w:val="0F172A"/>
        </w:rPr>
        <w:t>Sobre esta template</w:t>
      </w:r>
    </w:p>
    <w:p>
      <w:r>
        <w:rPr>
          <w:sz w:val="22"/>
        </w:rPr>
        <w:t>Esta template foi criada pela equipa AI Act Portugal para apoiar organizações em Portugal a implementar boas práticas de conformidade com o Regulamento (UE) 2024/1689 (AI Act). Está pré-preenchida com exemplos reais de uma organização ficcional consistente (TechMed Solutions, S.A.) para que possa ver como cada secção é esperada - basta substituir pelos dados da sua organização.</w:t>
      </w:r>
    </w:p>
    <w:p>
      <w:r>
        <w:rPr>
          <w:sz w:val="22"/>
        </w:rPr>
        <w:t>Para adaptar à sua organização: substitua os dados de exemplo pelos dados reais; ajuste as secções conforme a maturidade, dimensão e setor; remova ou expanda blocos opcionais; valide com o seu AI Officer, DPO e aconselhamento jurídico antes de utilização operacional ou submissão a autoridade competente.</w:t>
      </w:r>
    </w:p>
    <w:p>
      <w:pPr>
        <w:pStyle w:val="Heading1"/>
      </w:pPr>
      <w:r>
        <w:rPr>
          <w:color w:val="0F172A"/>
        </w:rPr>
        <w:t>Sobre AI Act Portugal</w:t>
      </w:r>
    </w:p>
    <w:p>
      <w:r>
        <w:rPr>
          <w:sz w:val="22"/>
        </w:rPr>
        <w:t>AI Act Portugal é uma plataforma informativa independente sobre o Regulamento (UE) 2024/1689 (AI Act) com foco em organizações portuguesas. Disponibiliza conteúdo jurídico-técnico atualizado, ferramentas interativas (classificador de risco, calculadora de custos, auditoria, dashboard, roadmap) e modelos profissionais alinhados com as obrigações regulatórias e com a coordenação da ANACOM.</w:t>
      </w:r>
    </w:p>
    <w:p>
      <w:r>
        <w:rPr>
          <w:b/>
          <w:sz w:val="21"/>
        </w:rPr>
        <w:t xml:space="preserve">Plataforma: </w:t>
      </w:r>
      <w:r>
        <w:rPr>
          <w:color w:val="0891B2"/>
          <w:sz w:val="21"/>
        </w:rPr>
        <w:t>https://aiact-portugal.pt</w:t>
      </w:r>
      <w:r>
        <w:rPr>
          <w:b/>
          <w:sz w:val="21"/>
        </w:rPr>
        <w:t xml:space="preserve">   ·   Contactos: </w:t>
      </w:r>
      <w:r>
        <w:rPr>
          <w:color w:val="0891B2"/>
          <w:sz w:val="21"/>
        </w:rPr>
        <w:t>aiact-portugal.pt/pages/contactos.html</w:t>
      </w:r>
    </w:p>
    <w:p>
      <w:r>
        <w:rPr>
          <w:i/>
          <w:color w:val="5C6B7A"/>
          <w:sz w:val="18"/>
        </w:rPr>
        <w:t>Aviso: este modelo não substitui aconselhamento jurídico profissional. Os exemplos pré-preenchidos referem-se a uma organização ficcional e devem ser adaptados à realidade específica da sua organização.</w:t>
      </w:r>
    </w:p>
    <w:p>
      <w:r>
        <w:br w:type="page"/>
      </w:r>
    </w:p>
    <w:p>
      <w:pPr>
        <w:pStyle w:val="Title"/>
      </w:pPr>
      <w:r>
        <w:rPr>
          <w:color w:val="0F172A"/>
          <w:sz w:val="44"/>
        </w:rPr>
        <w:t>Job Description - AI Officer</w:t>
      </w:r>
    </w:p>
    <w:p>
      <w:r>
        <w:rPr>
          <w:i/>
          <w:color w:val="5C6B7A"/>
          <w:sz w:val="19"/>
        </w:rPr>
        <w:t>[Logo da organização]</w:t>
      </w:r>
    </w:p>
    <w:p>
      <w:r>
        <w:rPr>
          <w:b/>
          <w:color w:val="0F172A"/>
          <w:sz w:val="22"/>
        </w:rPr>
        <w:t>[Nome da organização]</w:t>
      </w:r>
    </w:p>
    <w:p>
      <w:r>
        <w:rPr>
          <w:i/>
          <w:color w:val="5C6B7A"/>
          <w:sz w:val="18"/>
        </w:rPr>
        <w:t>Preparado com apoio de AI Act Portugal - aiact-portugal.pt</w:t>
      </w:r>
    </w:p>
    <w:p>
      <w:pPr>
        <w:pBdr>
          <w:bottom w:val="single" w:sz="12" w:space="1" w:color="0891B2"/>
        </w:pBdr>
      </w:pPr>
    </w:p>
    <w:p>
      <w:r>
        <w:rPr>
          <w:b/>
          <w:i/>
          <w:color w:val="EA580C"/>
          <w:sz w:val="19"/>
        </w:rPr>
        <w:t>💡  EXEMPLO PRÉ-PREENCHIDO: JD efetivamente em uso na TechMed Solutions, S.A. - atribuído a Maria Silva.</w:t>
      </w:r>
    </w:p>
    <w:p>
      <w:pPr>
        <w:pStyle w:val="Heading2"/>
      </w:pPr>
      <w:r>
        <w:rPr>
          <w:rFonts w:ascii="Calibri" w:hAnsi="Calibri"/>
          <w:color w:val="0F172A"/>
        </w:rPr>
        <w:t>1. Identificação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Cargo</w:t>
            </w:r>
          </w:p>
        </w:tc>
        <w:tc>
          <w:tcPr>
            <w:tcW w:type="dxa" w:w="6236"/>
          </w:tcPr>
          <w:p>
            <w:r>
              <w:t>AI Officer / Chief AI Compliance Officer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Reporta a</w:t>
            </w:r>
          </w:p>
        </w:tc>
        <w:tc>
          <w:tcPr>
            <w:tcW w:type="dxa" w:w="6236"/>
          </w:tcPr>
          <w:p>
            <w:r>
              <w:t>CEO (linha principal); Conselho de Administração (linha funcional)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Localização</w:t>
            </w:r>
          </w:p>
        </w:tc>
        <w:tc>
          <w:tcPr>
            <w:tcW w:type="dxa" w:w="6236"/>
          </w:tcPr>
          <w:p>
            <w:r>
              <w:t>Av. da Liberdade 100, 4.º piso, 1250-145 Lisboa, Portugal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Tipo</w:t>
            </w:r>
          </w:p>
        </w:tc>
        <w:tc>
          <w:tcPr>
            <w:tcW w:type="dxa" w:w="6236"/>
          </w:tcPr>
          <w:p>
            <w:r>
              <w:t>Tempo inteiro, contrato sem termo</w:t>
            </w:r>
          </w:p>
        </w:tc>
      </w:tr>
      <w:tr>
        <w:tc>
          <w:tcPr>
            <w:tcW w:type="dxa" w:w="2835"/>
            <w:shd w:val="clear" w:color="auto" w:fill="F1F5F9"/>
          </w:tcPr>
          <w:p>
            <w:r>
              <w:rPr>
                <w:b/>
              </w:rPr>
              <w:t>Equipa</w:t>
            </w:r>
          </w:p>
        </w:tc>
        <w:tc>
          <w:tcPr>
            <w:tcW w:type="dxa" w:w="6236"/>
          </w:tcPr>
          <w:p>
            <w:r>
              <w:t>2 reportes diretos + cooperação transversal com DPO, CISO, Compliance, Owners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2. Missão</w:t>
      </w:r>
    </w:p>
    <w:p>
      <w:r>
        <w:rPr>
          <w:sz w:val="22"/>
        </w:rPr>
        <w:t>Garantir o cumprimento integral do Regulamento (UE) 2024/1689 (AI Act) e demais legislação aplicável a sistemas de IA na TechMed Solutions, S.A., atuando como ponto único de coordenação interno e externo.</w:t>
      </w:r>
    </w:p>
    <w:p>
      <w:pPr>
        <w:pStyle w:val="Heading2"/>
      </w:pPr>
      <w:r>
        <w:rPr>
          <w:rFonts w:ascii="Calibri" w:hAnsi="Calibri"/>
          <w:color w:val="0F172A"/>
        </w:rPr>
        <w:t>3. Responsabilidades principais</w:t>
      </w:r>
    </w:p>
    <w:p>
      <w:pPr>
        <w:pStyle w:val="ListBullet"/>
        <w:ind w:left="283"/>
      </w:pPr>
      <w:r>
        <w:rPr>
          <w:sz w:val="21"/>
        </w:rPr>
        <w:t>☑  Manter o sistema de gestão de risco IA (PGR-IA-001) - Art. 9</w:t>
      </w:r>
    </w:p>
    <w:p>
      <w:pPr>
        <w:pStyle w:val="ListBullet"/>
        <w:ind w:left="283"/>
      </w:pPr>
      <w:r>
        <w:rPr>
          <w:sz w:val="21"/>
        </w:rPr>
        <w:t>☑  Coordenar a documentação técnica (Anexo IV) e declarações UE de conformidade</w:t>
      </w:r>
    </w:p>
    <w:p>
      <w:pPr>
        <w:pStyle w:val="ListBullet"/>
        <w:ind w:left="283"/>
      </w:pPr>
      <w:r>
        <w:rPr>
          <w:sz w:val="21"/>
        </w:rPr>
        <w:t>☑  Liderar o Comité IA (mensal) e revisões pela gestão (trimestral)</w:t>
      </w:r>
    </w:p>
    <w:p>
      <w:pPr>
        <w:pStyle w:val="ListBullet"/>
        <w:ind w:left="283"/>
      </w:pPr>
      <w:r>
        <w:rPr>
          <w:sz w:val="21"/>
        </w:rPr>
        <w:t>☑  Coordenar auditorias internas e externas</w:t>
      </w:r>
    </w:p>
    <w:p>
      <w:pPr>
        <w:pStyle w:val="ListBullet"/>
        <w:ind w:left="283"/>
      </w:pPr>
      <w:r>
        <w:rPr>
          <w:sz w:val="21"/>
        </w:rPr>
        <w:t>☑  Ponto de contacto único para a ANACOM e outras autoridades</w:t>
      </w:r>
    </w:p>
    <w:p>
      <w:pPr>
        <w:pStyle w:val="ListBullet"/>
        <w:ind w:left="283"/>
      </w:pPr>
      <w:r>
        <w:rPr>
          <w:sz w:val="21"/>
        </w:rPr>
        <w:t>☑  Coordenar a notificação de incidentes graves (Art. 73)</w:t>
      </w:r>
    </w:p>
    <w:p>
      <w:pPr>
        <w:pStyle w:val="ListBullet"/>
        <w:ind w:left="283"/>
      </w:pPr>
      <w:r>
        <w:rPr>
          <w:sz w:val="21"/>
        </w:rPr>
        <w:t>☑  Liderar o programa de literacia IA (Art. 4)</w:t>
      </w:r>
    </w:p>
    <w:p>
      <w:pPr>
        <w:pStyle w:val="ListBullet"/>
        <w:ind w:left="283"/>
      </w:pPr>
      <w:r>
        <w:rPr>
          <w:sz w:val="21"/>
        </w:rPr>
        <w:t>☑  Coordenar a classificação de risco de novos sistemas</w:t>
      </w:r>
    </w:p>
    <w:p>
      <w:pPr>
        <w:pStyle w:val="ListBullet"/>
        <w:ind w:left="283"/>
      </w:pPr>
      <w:r>
        <w:rPr>
          <w:sz w:val="21"/>
        </w:rPr>
        <w:t>☑  Manter o registo central de sistemas IA</w:t>
      </w:r>
    </w:p>
    <w:p>
      <w:pPr>
        <w:pStyle w:val="ListBullet"/>
        <w:ind w:left="283"/>
      </w:pPr>
      <w:r>
        <w:rPr>
          <w:sz w:val="21"/>
        </w:rPr>
        <w:t>☑  Acompanhar evolução regulatória (Omnibus, ANIA, orientações ANACOM)</w:t>
      </w:r>
    </w:p>
    <w:p>
      <w:pPr>
        <w:pStyle w:val="ListBullet"/>
        <w:ind w:left="283"/>
      </w:pPr>
      <w:r>
        <w:rPr>
          <w:sz w:val="21"/>
        </w:rPr>
        <w:t>☑  Coordenar a candidatura à sandbox regulatória</w:t>
      </w:r>
    </w:p>
    <w:p>
      <w:pPr>
        <w:pStyle w:val="Heading2"/>
      </w:pPr>
      <w:r>
        <w:rPr>
          <w:rFonts w:ascii="Calibri" w:hAnsi="Calibri"/>
          <w:color w:val="0F172A"/>
        </w:rPr>
        <w:t>4. Perfil - competências e experiência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Critério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Detalhe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Estado</w:t>
            </w:r>
          </w:p>
        </w:tc>
      </w:tr>
      <w:tr>
        <w:tc>
          <w:tcPr>
            <w:tcW w:type="dxa" w:w="3135"/>
          </w:tcPr>
          <w:p>
            <w:r>
              <w:t>Formação</w:t>
            </w:r>
          </w:p>
        </w:tc>
        <w:tc>
          <w:tcPr>
            <w:tcW w:type="dxa" w:w="3135"/>
          </w:tcPr>
          <w:p>
            <w:r>
              <w:t>Mestrado em Direito, Engenharia, Ciência de Dados ou afim</w:t>
            </w:r>
          </w:p>
        </w:tc>
        <w:tc>
          <w:tcPr>
            <w:tcW w:type="dxa" w:w="3135"/>
          </w:tcPr>
          <w:p>
            <w:r>
              <w:t>Obrigatório</w:t>
            </w:r>
          </w:p>
        </w:tc>
      </w:tr>
      <w:tr>
        <w:tc>
          <w:tcPr>
            <w:tcW w:type="dxa" w:w="3135"/>
          </w:tcPr>
          <w:p>
            <w:r>
              <w:t>Experiência</w:t>
            </w:r>
          </w:p>
        </w:tc>
        <w:tc>
          <w:tcPr>
            <w:tcW w:type="dxa" w:w="3135"/>
          </w:tcPr>
          <w:p>
            <w:r>
              <w:t>5+ anos em compliance regulatória (RGPD, NIS2, MDR, ISO 27001, ISO 42001)</w:t>
            </w:r>
          </w:p>
        </w:tc>
        <w:tc>
          <w:tcPr>
            <w:tcW w:type="dxa" w:w="3135"/>
          </w:tcPr>
          <w:p>
            <w:r>
              <w:t>Obrigatório</w:t>
            </w:r>
          </w:p>
        </w:tc>
      </w:tr>
      <w:tr>
        <w:tc>
          <w:tcPr>
            <w:tcW w:type="dxa" w:w="3135"/>
          </w:tcPr>
          <w:p>
            <w:r>
              <w:t>Conhecimento AI Act</w:t>
            </w:r>
          </w:p>
        </w:tc>
        <w:tc>
          <w:tcPr>
            <w:tcW w:type="dxa" w:w="3135"/>
          </w:tcPr>
          <w:p>
            <w:r>
              <w:t>Demonstrado - formação CIPP/E + AI Governance + atualização contínua</w:t>
            </w:r>
          </w:p>
        </w:tc>
        <w:tc>
          <w:tcPr>
            <w:tcW w:type="dxa" w:w="3135"/>
          </w:tcPr>
          <w:p>
            <w:r>
              <w:t>Obrigatório</w:t>
            </w:r>
          </w:p>
        </w:tc>
      </w:tr>
      <w:tr>
        <w:tc>
          <w:tcPr>
            <w:tcW w:type="dxa" w:w="3135"/>
          </w:tcPr>
          <w:p>
            <w:r>
              <w:t>Conhecimento técnico ML</w:t>
            </w:r>
          </w:p>
        </w:tc>
        <w:tc>
          <w:tcPr>
            <w:tcW w:type="dxa" w:w="3135"/>
          </w:tcPr>
          <w:p>
            <w:r>
              <w:t>Capacidade de interagir com data scientists e revisar relatórios técnicos</w:t>
            </w:r>
          </w:p>
        </w:tc>
        <w:tc>
          <w:tcPr>
            <w:tcW w:type="dxa" w:w="3135"/>
          </w:tcPr>
          <w:p>
            <w:r>
              <w:t>Obrigatório</w:t>
            </w:r>
          </w:p>
        </w:tc>
      </w:tr>
      <w:tr>
        <w:tc>
          <w:tcPr>
            <w:tcW w:type="dxa" w:w="3135"/>
          </w:tcPr>
          <w:p>
            <w:r>
              <w:t>Soft skills</w:t>
            </w:r>
          </w:p>
        </w:tc>
        <w:tc>
          <w:tcPr>
            <w:tcW w:type="dxa" w:w="3135"/>
          </w:tcPr>
          <w:p>
            <w:r>
              <w:t>Liderança, comunicação executiva, negociação com autoridades</w:t>
            </w:r>
          </w:p>
        </w:tc>
        <w:tc>
          <w:tcPr>
            <w:tcW w:type="dxa" w:w="3135"/>
          </w:tcPr>
          <w:p>
            <w:r>
              <w:t>Obrigatório</w:t>
            </w:r>
          </w:p>
        </w:tc>
      </w:tr>
      <w:tr>
        <w:tc>
          <w:tcPr>
            <w:tcW w:type="dxa" w:w="3135"/>
          </w:tcPr>
          <w:p>
            <w:r>
              <w:t>Línguas</w:t>
            </w:r>
          </w:p>
        </w:tc>
        <w:tc>
          <w:tcPr>
            <w:tcW w:type="dxa" w:w="3135"/>
          </w:tcPr>
          <w:p>
            <w:r>
              <w:t>Português nativo, Inglês fluente; Espanhol vantagem</w:t>
            </w:r>
          </w:p>
        </w:tc>
        <w:tc>
          <w:tcPr>
            <w:tcW w:type="dxa" w:w="3135"/>
          </w:tcPr>
          <w:p>
            <w:r>
              <w:t>Obrigatório</w:t>
            </w:r>
          </w:p>
        </w:tc>
      </w:tr>
      <w:tr>
        <w:tc>
          <w:tcPr>
            <w:tcW w:type="dxa" w:w="3135"/>
          </w:tcPr>
          <w:p>
            <w:r>
              <w:t>Certificações</w:t>
            </w:r>
          </w:p>
        </w:tc>
        <w:tc>
          <w:tcPr>
            <w:tcW w:type="dxa" w:w="3135"/>
          </w:tcPr>
          <w:p>
            <w:r>
              <w:t>CIPP/E, CIPM, AIGP, ISO 27001 LA, ISO 42001 LA (vantagens)</w:t>
            </w:r>
          </w:p>
        </w:tc>
        <w:tc>
          <w:tcPr>
            <w:tcW w:type="dxa" w:w="3135"/>
          </w:tcPr>
          <w:p>
            <w:r>
              <w:t>Vantagem</w:t>
            </w:r>
          </w:p>
        </w:tc>
      </w:tr>
    </w:tbl>
    <w:p>
      <w:pPr>
        <w:pStyle w:val="Heading2"/>
      </w:pPr>
      <w:r>
        <w:rPr>
          <w:rFonts w:ascii="Calibri" w:hAnsi="Calibri"/>
          <w:color w:val="0F172A"/>
        </w:rPr>
        <w:t>5. Independência e poderes</w:t>
      </w:r>
    </w:p>
    <w:p>
      <w:pPr>
        <w:pStyle w:val="ListBullet"/>
        <w:ind w:left="283"/>
      </w:pPr>
      <w:r>
        <w:rPr>
          <w:sz w:val="21"/>
        </w:rPr>
        <w:t>☑  Acesso direto ao CEO e Conselho de Administração</w:t>
      </w:r>
    </w:p>
    <w:p>
      <w:pPr>
        <w:pStyle w:val="ListBullet"/>
        <w:ind w:left="283"/>
      </w:pPr>
      <w:r>
        <w:rPr>
          <w:sz w:val="21"/>
        </w:rPr>
        <w:t>☑  Veto sobre colocação no mercado de qualquer sistema com risco residual &gt;9 não-aprovado</w:t>
      </w:r>
    </w:p>
    <w:p>
      <w:pPr>
        <w:pStyle w:val="ListBullet"/>
        <w:ind w:left="283"/>
      </w:pPr>
      <w:r>
        <w:rPr>
          <w:sz w:val="21"/>
        </w:rPr>
        <w:t>☑  Poder de suspender qualquer sistema em caso de risco grave</w:t>
      </w:r>
    </w:p>
    <w:p>
      <w:pPr>
        <w:pStyle w:val="ListBullet"/>
        <w:ind w:left="283"/>
      </w:pPr>
      <w:r>
        <w:rPr>
          <w:sz w:val="21"/>
        </w:rPr>
        <w:t>☑  Comunicação direta com autoridades sem necessidade de aprovação prévia</w:t>
      </w:r>
    </w:p>
    <w:p>
      <w:pPr>
        <w:pStyle w:val="ListBullet"/>
        <w:ind w:left="283"/>
      </w:pPr>
      <w:r>
        <w:rPr>
          <w:sz w:val="21"/>
        </w:rPr>
        <w:t>☑  Orçamento próprio para auditorias, formação e ferramentas</w:t>
      </w:r>
    </w:p>
    <w:p>
      <w:pPr>
        <w:pStyle w:val="Heading2"/>
      </w:pPr>
      <w:r>
        <w:rPr>
          <w:rFonts w:ascii="Calibri" w:hAnsi="Calibri"/>
          <w:color w:val="0F172A"/>
        </w:rPr>
        <w:t>6. KPIs de performance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KPI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Meta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Atual</w:t>
            </w:r>
          </w:p>
        </w:tc>
      </w:tr>
      <w:tr>
        <w:tc>
          <w:tcPr>
            <w:tcW w:type="dxa" w:w="3135"/>
          </w:tcPr>
          <w:p>
            <w:r>
              <w:t>% conformidade global (audit interna)</w:t>
            </w:r>
          </w:p>
        </w:tc>
        <w:tc>
          <w:tcPr>
            <w:tcW w:type="dxa" w:w="3135"/>
          </w:tcPr>
          <w:p>
            <w:r>
              <w:t>≥ 95%</w:t>
            </w:r>
          </w:p>
        </w:tc>
        <w:tc>
          <w:tcPr>
            <w:tcW w:type="dxa" w:w="3135"/>
          </w:tcPr>
          <w:p>
            <w:r>
              <w:t>92%</w:t>
            </w:r>
          </w:p>
        </w:tc>
      </w:tr>
      <w:tr>
        <w:tc>
          <w:tcPr>
            <w:tcW w:type="dxa" w:w="3135"/>
          </w:tcPr>
          <w:p>
            <w:r>
              <w:t>Cobertura literacia IA</w:t>
            </w:r>
          </w:p>
        </w:tc>
        <w:tc>
          <w:tcPr>
            <w:tcW w:type="dxa" w:w="3135"/>
          </w:tcPr>
          <w:p>
            <w:r>
              <w:t>100%</w:t>
            </w:r>
          </w:p>
        </w:tc>
        <w:tc>
          <w:tcPr>
            <w:tcW w:type="dxa" w:w="3135"/>
          </w:tcPr>
          <w:p>
            <w:r>
              <w:t>99.6%</w:t>
            </w:r>
          </w:p>
        </w:tc>
      </w:tr>
      <w:tr>
        <w:tc>
          <w:tcPr>
            <w:tcW w:type="dxa" w:w="3135"/>
          </w:tcPr>
          <w:p>
            <w:r>
              <w:t>Tempo de resposta a autoridade</w:t>
            </w:r>
          </w:p>
        </w:tc>
        <w:tc>
          <w:tcPr>
            <w:tcW w:type="dxa" w:w="3135"/>
          </w:tcPr>
          <w:p>
            <w:r>
              <w:t>≤ 5 dias úteis</w:t>
            </w:r>
          </w:p>
        </w:tc>
        <w:tc>
          <w:tcPr>
            <w:tcW w:type="dxa" w:w="3135"/>
          </w:tcPr>
          <w:p>
            <w:r>
              <w:t>3.2 dias</w:t>
            </w:r>
          </w:p>
        </w:tc>
      </w:tr>
      <w:tr>
        <w:tc>
          <w:tcPr>
            <w:tcW w:type="dxa" w:w="3135"/>
          </w:tcPr>
          <w:p>
            <w:r>
              <w:t>Incidentes Art. 73 não-resolvidos no prazo</w:t>
            </w:r>
          </w:p>
        </w:tc>
        <w:tc>
          <w:tcPr>
            <w:tcW w:type="dxa" w:w="3135"/>
          </w:tcPr>
          <w:p>
            <w:r>
              <w:t>0</w:t>
            </w:r>
          </w:p>
        </w:tc>
        <w:tc>
          <w:tcPr>
            <w:tcW w:type="dxa" w:w="3135"/>
          </w:tcPr>
          <w:p>
            <w:r>
              <w:t>0</w:t>
            </w:r>
          </w:p>
        </w:tc>
      </w:tr>
      <w:tr>
        <w:tc>
          <w:tcPr>
            <w:tcW w:type="dxa" w:w="3135"/>
          </w:tcPr>
          <w:p>
            <w:r>
              <w:t>Auditorias externas com NCs críticas</w:t>
            </w:r>
          </w:p>
        </w:tc>
        <w:tc>
          <w:tcPr>
            <w:tcW w:type="dxa" w:w="3135"/>
          </w:tcPr>
          <w:p>
            <w:r>
              <w:t>0</w:t>
            </w:r>
          </w:p>
        </w:tc>
        <w:tc>
          <w:tcPr>
            <w:tcW w:type="dxa" w:w="3135"/>
          </w:tcPr>
          <w:p>
            <w:r>
              <w:t>0</w:t>
            </w:r>
          </w:p>
        </w:tc>
      </w:tr>
    </w:tbl>
    <w:p/>
    <w:p>
      <w:pPr>
        <w:jc w:val="center"/>
      </w:pPr>
      <w:r>
        <w:rPr>
          <w:i/>
          <w:color w:val="5C6B7A"/>
          <w:sz w:val="16"/>
        </w:rPr>
        <w:t>Este modelo foi gerado por AI Act Portugal (https://aiact-portugal.pt) como guia indicativo de conformidade com o Regulamento (UE) 2024/1689. Os exemplos pré-preenchidos referem-se a uma organização ficcional (TechMed Solutions, S.A.) - adapte os campos à realidade da sua organização. Não substitui aconselhamento jurídico.</w:t>
      </w:r>
    </w:p>
    <w:p>
      <w:r>
        <w:br w:type="page"/>
      </w:r>
    </w:p>
    <w:p>
      <w:pPr>
        <w:pStyle w:val="Heading2"/>
      </w:pPr>
      <w:r>
        <w:rPr>
          <w:rFonts w:ascii="Calibri" w:hAnsi="Calibri"/>
          <w:color w:val="0F172A"/>
        </w:rPr>
        <w:t>Histórico de revisões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Versão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Data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Autor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Resumo das alterações</w:t>
            </w:r>
          </w:p>
        </w:tc>
        <w:tc>
          <w:tcPr>
            <w:tcW w:type="dxa" w:w="1881"/>
            <w:shd w:val="clear" w:color="auto" w:fill="0F172A"/>
          </w:tcPr>
          <w:p>
            <w:r>
              <w:rPr>
                <w:b/>
                <w:color w:val="FFFFFF"/>
              </w:rPr>
              <w:t>Aprovado por</w:t>
            </w:r>
          </w:p>
        </w:tc>
      </w:tr>
      <w:tr>
        <w:tc>
          <w:tcPr>
            <w:tcW w:type="dxa" w:w="1881"/>
          </w:tcPr>
          <w:p>
            <w:r>
              <w:t>1.0</w:t>
            </w:r>
          </w:p>
        </w:tc>
        <w:tc>
          <w:tcPr>
            <w:tcW w:type="dxa" w:w="1881"/>
          </w:tcPr>
          <w:p>
            <w:r>
              <w:t>2026-04-15</w:t>
            </w:r>
          </w:p>
        </w:tc>
        <w:tc>
          <w:tcPr>
            <w:tcW w:type="dxa" w:w="1881"/>
          </w:tcPr>
          <w:p>
            <w:r>
              <w:t>AI Officer</w:t>
            </w:r>
          </w:p>
        </w:tc>
        <w:tc>
          <w:tcPr>
            <w:tcW w:type="dxa" w:w="1881"/>
          </w:tcPr>
          <w:p>
            <w:r>
              <w:t>Versão inicial</w:t>
            </w:r>
          </w:p>
        </w:tc>
        <w:tc>
          <w:tcPr>
            <w:tcW w:type="dxa" w:w="1881"/>
          </w:tcPr>
          <w:p>
            <w:r>
              <w:t>CEO + Comité IA</w:t>
            </w:r>
          </w:p>
        </w:tc>
      </w:tr>
      <w:tr>
        <w:tc>
          <w:tcPr>
            <w:tcW w:type="dxa" w:w="1881"/>
          </w:tcPr>
          <w:p>
            <w:r>
              <w:t>1.1</w:t>
            </w:r>
          </w:p>
        </w:tc>
        <w:tc>
          <w:tcPr>
            <w:tcW w:type="dxa" w:w="1881"/>
          </w:tcPr>
          <w:p>
            <w:r>
              <w:t>__/__/______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  <w:tc>
          <w:tcPr>
            <w:tcW w:type="dxa" w:w="1881"/>
          </w:tcPr>
          <w:p>
            <w:r>
              <w:t>________________</w:t>
            </w:r>
          </w:p>
        </w:tc>
      </w:tr>
      <w:tr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  <w:tc>
          <w:tcPr>
            <w:tcW w:type="dxa" w:w="1881"/>
          </w:tcPr>
          <w:p>
            <w:r/>
          </w:p>
        </w:tc>
      </w:tr>
    </w:tbl>
    <w:p>
      <w:r>
        <w:rPr>
          <w:i/>
          <w:color w:val="5C6B7A"/>
          <w:sz w:val="18"/>
        </w:rPr>
        <w:t>Cada alteração material a este documento deve gerar nova versão e ser aprovada pelas pessoas designadas. Conserve histórico durante 10 anos (Art. 11(2) para sistemas de alto risco).</w:t>
      </w:r>
    </w:p>
    <w:p/>
    <w:p>
      <w:pPr>
        <w:pStyle w:val="Heading2"/>
      </w:pPr>
      <w:r>
        <w:rPr>
          <w:rFonts w:ascii="Calibri" w:hAnsi="Calibri"/>
          <w:color w:val="0F172A"/>
        </w:rPr>
        <w:t>Aprovações</w:t>
      </w:r>
    </w:p>
    <w:p>
      <w:r>
        <w:rPr>
          <w:sz w:val="21"/>
        </w:rPr>
        <w:t>Este documento foi revisto e aprovado pelas pessoas indicadas abaixo. As assinaturas atestam concordância com o conteúdo e compromisso com a sua aplicação na organização.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Papel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Nome e cargo</w:t>
            </w:r>
          </w:p>
        </w:tc>
        <w:tc>
          <w:tcPr>
            <w:tcW w:type="dxa" w:w="3135"/>
            <w:shd w:val="clear" w:color="auto" w:fill="0F172A"/>
          </w:tcPr>
          <w:p>
            <w:r>
              <w:rPr>
                <w:b/>
                <w:color w:val="FFFFFF"/>
              </w:rPr>
              <w:t>Assinatura e data</w:t>
            </w:r>
          </w:p>
        </w:tc>
      </w:tr>
      <w:tr>
        <w:tc>
          <w:tcPr>
            <w:tcW w:type="dxa" w:w="3135"/>
          </w:tcPr>
          <w:p>
            <w:r>
              <w:t>Elaborado por</w:t>
            </w:r>
          </w:p>
        </w:tc>
        <w:tc>
          <w:tcPr>
            <w:tcW w:type="dxa" w:w="3135"/>
          </w:tcPr>
          <w:p>
            <w:r>
              <w:t>[Nome] · AI Officer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Revisto por</w:t>
            </w:r>
          </w:p>
        </w:tc>
        <w:tc>
          <w:tcPr>
            <w:tcW w:type="dxa" w:w="3135"/>
          </w:tcPr>
          <w:p>
            <w:r>
              <w:t>[Nome] · DPO + CISO + Compliance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  <w:tr>
        <w:tc>
          <w:tcPr>
            <w:tcW w:type="dxa" w:w="3135"/>
          </w:tcPr>
          <w:p>
            <w:r>
              <w:t>Aprovado por</w:t>
            </w:r>
          </w:p>
        </w:tc>
        <w:tc>
          <w:tcPr>
            <w:tcW w:type="dxa" w:w="3135"/>
          </w:tcPr>
          <w:p>
            <w:r>
              <w:t>[Nome] · CEO</w:t>
            </w:r>
          </w:p>
        </w:tc>
        <w:tc>
          <w:tcPr>
            <w:tcW w:type="dxa" w:w="3135"/>
          </w:tcPr>
          <w:p>
            <w:r>
              <w:t>_______________________________  /  __/__/______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247" w:right="1417" w:bottom="1247" w:left="1417" w:header="680" w:footer="68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  <w:pBdr>
        <w:top w:val="single" w:sz="6" w:space="1" w:color="0891B2"/>
      </w:pBdr>
    </w:pPr>
    <w:r>
      <w:rPr>
        <w:rFonts w:ascii="Calibri" w:hAnsi="Calibri"/>
        <w:color w:val="5C6B7A"/>
        <w:sz w:val="17"/>
      </w:rPr>
      <w:t xml:space="preserve">Confidencial  |  Página </w:t>
    </w:r>
    <w:r>
      <w:rPr>
        <w:rFonts w:ascii="Calibri" w:hAnsi="Calibri"/>
        <w:color w:val="5C6B7A"/>
        <w:sz w:val="17"/>
      </w:rPr>
      <w:fldChar w:fldCharType="begin"/>
      <w:instrText>PAGE</w:instrText>
      <w:fldChar w:fldCharType="end"/>
    </w:r>
    <w:r>
      <w:rPr>
        <w:rFonts w:ascii="Calibri" w:hAnsi="Calibri"/>
        <w:color w:val="5C6B7A"/>
        <w:sz w:val="17"/>
      </w:rPr>
      <w:t xml:space="preserve"> de </w:t>
    </w:r>
    <w:r>
      <w:rPr>
        <w:rFonts w:ascii="Calibri" w:hAnsi="Calibri"/>
        <w:color w:val="5C6B7A"/>
        <w:sz w:val="17"/>
      </w:rPr>
      <w:fldChar w:fldCharType="begin"/>
      <w:instrText>NUMPAGES</w:instrText>
      <w:fldChar w:fldCharType="end"/>
    </w:r>
    <w:r>
      <w:rPr>
        <w:rFonts w:ascii="Calibri" w:hAnsi="Calibri"/>
        <w:color w:val="5C6B7A"/>
        <w:sz w:val="17"/>
      </w:rPr>
      <w:t xml:space="preserve">  ·  AI Act Portugal · Reg. (UE) 2024/1689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  <w:pBdr>
        <w:bottom w:val="single" w:sz="6" w:space="1" w:color="0F172A"/>
      </w:pBdr>
    </w:pPr>
    <w:r>
      <w:rPr>
        <w:rFonts w:ascii="Calibri" w:hAnsi="Calibri"/>
        <w:i/>
        <w:color w:val="5C6B7A"/>
        <w:sz w:val="17"/>
      </w:rPr>
      <w:t>AI Act Portugal  ·  Modelo Profissional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jc w:val="both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