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Notificação de Incidente Grave - 24 horas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Notificação inicial à autoridade competente (Art. 73)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73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Notificação de Incidente Grave - 24 horas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Pré-preenchida com o incidente real INC-2026-001 (MedTriage AI v3.2.0).</w:t>
      </w:r>
    </w:p>
    <w:p>
      <w:r>
        <w:rPr>
          <w:b/>
          <w:color w:val="DC2626"/>
          <w:sz w:val="22"/>
        </w:rPr>
        <w:t>⚠ NOTIFICAÇÃO INICIAL - Submeter no prazo máximo de 2 dias após o conhecimento (15 dias gerais; 2 dias para infraestrutura crítica/saúde; imediatamente para morte ou dano grave).</w:t>
      </w:r>
    </w:p>
    <w:p>
      <w:pPr>
        <w:pStyle w:val="Heading2"/>
      </w:pPr>
      <w:r>
        <w:rPr>
          <w:rFonts w:ascii="Calibri" w:hAnsi="Calibri"/>
          <w:color w:val="0F172A"/>
        </w:rPr>
        <w:t>1. Identificação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Notificante</w:t>
            </w:r>
          </w:p>
        </w:tc>
        <w:tc>
          <w:tcPr>
            <w:tcW w:type="dxa" w:w="6236"/>
          </w:tcPr>
          <w:p>
            <w:r>
              <w:t>TechMed Solutions, S.A., NIPC 511 234 567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Contacto principal</w:t>
            </w:r>
          </w:p>
        </w:tc>
        <w:tc>
          <w:tcPr>
            <w:tcW w:type="dxa" w:w="6236"/>
          </w:tcPr>
          <w:p>
            <w:r>
              <w:t>Maria Silva (maria.silva@techmed-solutions.pt, +351 21 000 0001)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Papel face ao sistema</w:t>
            </w:r>
          </w:p>
        </w:tc>
        <w:tc>
          <w:tcPr>
            <w:tcW w:type="dxa" w:w="6236"/>
          </w:tcPr>
          <w:p>
            <w:r>
              <w:t>Provider + Deployer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Sistema de IA</w:t>
            </w:r>
          </w:p>
        </w:tc>
        <w:tc>
          <w:tcPr>
            <w:tcW w:type="dxa" w:w="6236"/>
          </w:tcPr>
          <w:p>
            <w:r>
              <w:t>MedTriage AI v3.2.0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Identificador</w:t>
            </w:r>
          </w:p>
        </w:tc>
        <w:tc>
          <w:tcPr>
            <w:tcW w:type="dxa" w:w="6236"/>
          </w:tcPr>
          <w:p>
            <w:r>
              <w:t>AI-TM-MED-001-v3.2.0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Data/hora do incidente</w:t>
            </w:r>
          </w:p>
        </w:tc>
        <w:tc>
          <w:tcPr>
            <w:tcW w:type="dxa" w:w="6236"/>
          </w:tcPr>
          <w:p>
            <w:r>
              <w:t>2026-03-08 10:15 (UTC+0)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Data/hora do conhecimento</w:t>
            </w:r>
          </w:p>
        </w:tc>
        <w:tc>
          <w:tcPr>
            <w:tcW w:type="dxa" w:w="6236"/>
          </w:tcPr>
          <w:p>
            <w:r>
              <w:t>2026-03-08 10:32 (deteção automática pela monitorização)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Data/hora desta notificação</w:t>
            </w:r>
          </w:p>
        </w:tc>
        <w:tc>
          <w:tcPr>
            <w:tcW w:type="dxa" w:w="6236"/>
          </w:tcPr>
          <w:p>
            <w:r>
              <w:t>2026-03-08 14:32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Local</w:t>
            </w:r>
          </w:p>
        </w:tc>
        <w:tc>
          <w:tcPr>
            <w:tcW w:type="dxa" w:w="6236"/>
          </w:tcPr>
          <w:p>
            <w:r>
              <w:t>12 hospitais parceiros TechMed em Portugal Continental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Categorização (Art. 3(49))</w:t>
      </w:r>
    </w:p>
    <w:p>
      <w:pPr>
        <w:pStyle w:val="ListBullet"/>
        <w:ind w:left="283"/>
      </w:pPr>
      <w:r>
        <w:rPr>
          <w:sz w:val="21"/>
        </w:rPr>
        <w:t>☑  Morte ou dano grave para a saúde de uma pessoa</w:t>
      </w:r>
    </w:p>
    <w:p>
      <w:pPr>
        <w:pStyle w:val="ListBullet"/>
        <w:ind w:left="283"/>
      </w:pPr>
      <w:r>
        <w:rPr>
          <w:sz w:val="21"/>
        </w:rPr>
        <w:t>☐  Perturbação grave e irreversível da gestão e operação de infraestruturas críticas</w:t>
      </w:r>
    </w:p>
    <w:p>
      <w:pPr>
        <w:pStyle w:val="ListBullet"/>
        <w:ind w:left="283"/>
      </w:pPr>
      <w:r>
        <w:rPr>
          <w:sz w:val="21"/>
        </w:rPr>
        <w:t>☐  Violação de obrigações de proteção de direitos fundamentais</w:t>
      </w:r>
    </w:p>
    <w:p>
      <w:pPr>
        <w:pStyle w:val="ListBullet"/>
        <w:ind w:left="283"/>
      </w:pPr>
      <w:r>
        <w:rPr>
          <w:sz w:val="21"/>
        </w:rPr>
        <w:t>☐  Dano grave a propriedade ou ambiente</w:t>
      </w:r>
    </w:p>
    <w:p>
      <w:r>
        <w:rPr>
          <w:i/>
          <w:sz w:val="22"/>
        </w:rPr>
        <w:t>Categoria primária: ⚠ Mau funcionamento com risco potencial de dano grave à saúde (sub-prioritização pediátrica). Sem dano materializado (deteção rápida).</w:t>
      </w:r>
    </w:p>
    <w:p>
      <w:pPr>
        <w:pStyle w:val="Heading2"/>
      </w:pPr>
      <w:r>
        <w:rPr>
          <w:rFonts w:ascii="Calibri" w:hAnsi="Calibri"/>
          <w:color w:val="0F172A"/>
        </w:rPr>
        <w:t>3. Descrição preliminar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Sequência (resumo)</w:t>
            </w:r>
          </w:p>
        </w:tc>
        <w:tc>
          <w:tcPr>
            <w:tcW w:type="dxa" w:w="6236"/>
          </w:tcPr>
          <w:p>
            <w:r>
              <w:t>Atualização do modelo (v3.2.0) introduziu drift que aumentou em 12% a sub-prioritização de doentes pediátricos com febre acima de 39°C. Detetado pela monitorização (Art. 72) ao fim de 4 horas, modelo revertido para v3.1.4 imediatamente. Sem dano grave reportado.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Pessoas afetadas</w:t>
            </w:r>
          </w:p>
        </w:tc>
        <w:tc>
          <w:tcPr>
            <w:tcW w:type="dxa" w:w="6236"/>
          </w:tcPr>
          <w:p>
            <w:r>
              <w:t>Cerca de 80 doentes pediátricos triados nas 4 horas; revisão clínica feita a todos.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Causa raiz preliminar</w:t>
            </w:r>
          </w:p>
        </w:tc>
        <w:tc>
          <w:tcPr>
            <w:tcW w:type="dxa" w:w="6236"/>
          </w:tcPr>
          <w:p>
            <w:r>
              <w:t>Dataset de retreino tinha sub-amostragem de pediátricos (incidente conhecido como "model drift").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Medidas imediatas</w:t>
            </w:r>
          </w:p>
        </w:tc>
        <w:tc>
          <w:tcPr>
            <w:tcW w:type="dxa" w:w="6236"/>
          </w:tcPr>
          <w:p>
            <w:r>
              <w:t>Rollback automático para v3.1.4 às 10:35 (3 minutos após deteção). Revisão clínica de todos os 80 doentes triados nas 4 horas anteriores. Comunicação a todos os hospitais parceiros.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Próximos passos</w:t>
      </w:r>
    </w:p>
    <w:p>
      <w:pPr>
        <w:pStyle w:val="ListBullet"/>
        <w:ind w:left="283"/>
      </w:pPr>
      <w:r>
        <w:rPr>
          <w:sz w:val="21"/>
        </w:rPr>
        <w:t>☑  Investigação interna iniciada - root cause analysis em curso</w:t>
      </w:r>
    </w:p>
    <w:p>
      <w:pPr>
        <w:pStyle w:val="ListBullet"/>
        <w:ind w:left="283"/>
      </w:pPr>
      <w:r>
        <w:rPr>
          <w:sz w:val="21"/>
        </w:rPr>
        <w:t>☑  Cooperação com ANACOM (autoridade nacional)</w:t>
      </w:r>
    </w:p>
    <w:p>
      <w:pPr>
        <w:pStyle w:val="ListBullet"/>
        <w:ind w:left="283"/>
      </w:pPr>
      <w:r>
        <w:rPr>
          <w:sz w:val="21"/>
        </w:rPr>
        <w:t>☑  Cooperação com CNCS (em paralelo, dado o sistema critico para SNS)</w:t>
      </w:r>
    </w:p>
    <w:p>
      <w:pPr>
        <w:pStyle w:val="ListBullet"/>
        <w:ind w:left="283"/>
      </w:pPr>
      <w:r>
        <w:rPr>
          <w:sz w:val="21"/>
        </w:rPr>
        <w:t>☑  Notificação Art. 73 a 72h prevista para 2026-03-11 14:00</w:t>
      </w:r>
    </w:p>
    <w:p>
      <w:pPr>
        <w:pStyle w:val="ListBullet"/>
        <w:ind w:left="283"/>
      </w:pPr>
      <w:r>
        <w:rPr>
          <w:sz w:val="21"/>
        </w:rPr>
        <w:t>☑  Relatório final 30 dias previsto para 2026-04-07</w:t>
      </w:r>
    </w:p>
    <w:p>
      <w:pPr>
        <w:pStyle w:val="ListBullet"/>
        <w:ind w:left="283"/>
      </w:pPr>
      <w:r>
        <w:rPr>
          <w:sz w:val="21"/>
        </w:rPr>
        <w:t>☑  Comunicação ao Ministério da Saúde (em curso)</w:t>
      </w:r>
    </w:p>
    <w:p>
      <w:pPr>
        <w:pStyle w:val="Heading2"/>
      </w:pPr>
      <w:r>
        <w:rPr>
          <w:rFonts w:ascii="Calibri" w:hAnsi="Calibri"/>
          <w:color w:val="0F172A"/>
        </w:rPr>
        <w:t>5. Assinatura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Nome</w:t>
            </w:r>
          </w:p>
        </w:tc>
        <w:tc>
          <w:tcPr>
            <w:tcW w:type="dxa" w:w="6236"/>
          </w:tcPr>
          <w:p>
            <w:r>
              <w:t>Dr. Rui Pereira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Cargo</w:t>
            </w:r>
          </w:p>
        </w:tc>
        <w:tc>
          <w:tcPr>
            <w:tcW w:type="dxa" w:w="6236"/>
          </w:tcPr>
          <w:p>
            <w:r>
              <w:t>CEO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Data</w:t>
            </w:r>
          </w:p>
        </w:tc>
        <w:tc>
          <w:tcPr>
            <w:tcW w:type="dxa" w:w="6236"/>
          </w:tcPr>
          <w:p>
            <w:r>
              <w:t>2026-03-08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Assinatura</w:t>
            </w:r>
          </w:p>
        </w:tc>
        <w:tc>
          <w:tcPr>
            <w:tcW w:type="dxa" w:w="6236"/>
          </w:tcPr>
          <w:p>
            <w:r>
              <w:t>_______________________________________________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