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Notificação de Incidente Grave - 72 horas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Atualização da notificação inicial (Art. 73)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73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Notificação de Incidente Grave - 72 horas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Pré-preenchida com seguimento de INC-2026-001 (MedTriage AI v3.2.0).</w:t>
      </w:r>
    </w:p>
    <w:p>
      <w:r>
        <w:rPr>
          <w:b/>
          <w:color w:val="EA580C"/>
          <w:sz w:val="22"/>
        </w:rPr>
        <w:t>⚠ ATUALIZAÇÃO INTERMÉDIA - Submetida 72h após a notificação inicial</w:t>
      </w:r>
    </w:p>
    <w:p>
      <w:pPr>
        <w:pStyle w:val="Heading2"/>
      </w:pPr>
      <w:r>
        <w:rPr>
          <w:rFonts w:ascii="Calibri" w:hAnsi="Calibri"/>
          <w:color w:val="0F172A"/>
        </w:rPr>
        <w:t>1. Referência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Referência da notificação inicial</w:t>
            </w:r>
          </w:p>
        </w:tc>
        <w:tc>
          <w:tcPr>
            <w:tcW w:type="dxa" w:w="6236"/>
          </w:tcPr>
          <w:p>
            <w:r>
              <w:t>INC-2026-001 (submetida 2026-03-08 14:32)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Data desta atualização</w:t>
            </w:r>
          </w:p>
        </w:tc>
        <w:tc>
          <w:tcPr>
            <w:tcW w:type="dxa" w:w="6236"/>
          </w:tcPr>
          <w:p>
            <w:r>
              <w:t>2026-03-11 14:00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Estado da investigação</w:t>
            </w:r>
          </w:p>
        </w:tc>
        <w:tc>
          <w:tcPr>
            <w:tcW w:type="dxa" w:w="6236"/>
          </w:tcPr>
          <w:p>
            <w:r>
              <w:t>Causa raiz identificada; medidas estruturais em implementação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2. Detalhes adicionais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Causa raiz confirmada</w:t>
            </w:r>
          </w:p>
        </w:tc>
        <w:tc>
          <w:tcPr>
            <w:tcW w:type="dxa" w:w="6236"/>
          </w:tcPr>
          <w:p>
            <w:r>
              <w:t>Dataset de retreino tinha sub-amostragem de pediátricos (incidente conhecido como "model drift").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Outros sistemas potencialmente afetados</w:t>
            </w:r>
          </w:p>
        </w:tc>
        <w:tc>
          <w:tcPr>
            <w:tcW w:type="dxa" w:w="6236"/>
          </w:tcPr>
          <w:p>
            <w:r>
              <w:t>Apenas MedTriage v3.2.0. CodeAssist e HR-Match não afetados (datasets independentes).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Volume real de pessoas afetadas</w:t>
            </w:r>
          </w:p>
        </w:tc>
        <w:tc>
          <w:tcPr>
            <w:tcW w:type="dxa" w:w="6236"/>
          </w:tcPr>
          <w:p>
            <w:r>
              <w:t>80 doentes pediátricos triados entre 06:15 e 10:32 do dia 2026-03-08. Revisão clínica realizada em todos os 80 - 3 doentes haviam sido sub-prioritizados, mas todos foram reavaliados sem dano clínico documentado.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Confirmação de não-dano grave</w:t>
            </w:r>
          </w:p>
        </w:tc>
        <w:tc>
          <w:tcPr>
            <w:tcW w:type="dxa" w:w="6236"/>
          </w:tcPr>
          <w:p>
            <w:r>
              <w:t>Sim - comunicação dos 12 hospitais parceiros até 2026-03-10 confirma ausência de dano grave.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3. Medidas em curso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Medida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Estado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Responsável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Prazo</w:t>
            </w:r>
          </w:p>
        </w:tc>
      </w:tr>
      <w:tr>
        <w:tc>
          <w:tcPr>
            <w:tcW w:type="dxa" w:w="2351"/>
          </w:tcPr>
          <w:p>
            <w:r>
              <w:t>Suspensão temporária de v3.2.0</w:t>
            </w:r>
          </w:p>
        </w:tc>
        <w:tc>
          <w:tcPr>
            <w:tcW w:type="dxa" w:w="2351"/>
          </w:tcPr>
          <w:p>
            <w:r>
              <w:t>Concluído 2026-03-08 10:35</w:t>
            </w:r>
          </w:p>
        </w:tc>
        <w:tc>
          <w:tcPr>
            <w:tcW w:type="dxa" w:w="2351"/>
          </w:tcPr>
          <w:p>
            <w:r>
              <w:t>CISO</w:t>
            </w:r>
          </w:p>
        </w:tc>
        <w:tc>
          <w:tcPr>
            <w:tcW w:type="dxa" w:w="2351"/>
          </w:tcPr>
          <w:p>
            <w:r>
              <w:t>2026-03-08</w:t>
            </w:r>
          </w:p>
        </w:tc>
      </w:tr>
      <w:tr>
        <w:tc>
          <w:tcPr>
            <w:tcW w:type="dxa" w:w="2351"/>
          </w:tcPr>
          <w:p>
            <w:r>
              <w:t>Patch - novo dataset com sobreamostragem pediátrica</w:t>
            </w:r>
          </w:p>
        </w:tc>
        <w:tc>
          <w:tcPr>
            <w:tcW w:type="dxa" w:w="2351"/>
          </w:tcPr>
          <w:p>
            <w:r>
              <w:t>Em curso (75%)</w:t>
            </w:r>
          </w:p>
        </w:tc>
        <w:tc>
          <w:tcPr>
            <w:tcW w:type="dxa" w:w="2351"/>
          </w:tcPr>
          <w:p>
            <w:r>
              <w:t>Equipa MedTriage</w:t>
            </w:r>
          </w:p>
        </w:tc>
        <w:tc>
          <w:tcPr>
            <w:tcW w:type="dxa" w:w="2351"/>
          </w:tcPr>
          <w:p>
            <w:r>
              <w:t>2026-03-25</w:t>
            </w:r>
          </w:p>
        </w:tc>
      </w:tr>
      <w:tr>
        <w:tc>
          <w:tcPr>
            <w:tcW w:type="dxa" w:w="2351"/>
          </w:tcPr>
          <w:p>
            <w:r>
              <w:t>Comunicação a todos os utilizadores</w:t>
            </w:r>
          </w:p>
        </w:tc>
        <w:tc>
          <w:tcPr>
            <w:tcW w:type="dxa" w:w="2351"/>
          </w:tcPr>
          <w:p>
            <w:r>
              <w:t>Concluído</w:t>
            </w:r>
          </w:p>
        </w:tc>
        <w:tc>
          <w:tcPr>
            <w:tcW w:type="dxa" w:w="2351"/>
          </w:tcPr>
          <w:p>
            <w:r>
              <w:t>Maria Silva</w:t>
            </w:r>
          </w:p>
        </w:tc>
        <w:tc>
          <w:tcPr>
            <w:tcW w:type="dxa" w:w="2351"/>
          </w:tcPr>
          <w:p>
            <w:r>
              <w:t>2026-03-09</w:t>
            </w:r>
          </w:p>
        </w:tc>
      </w:tr>
      <w:tr>
        <w:tc>
          <w:tcPr>
            <w:tcW w:type="dxa" w:w="2351"/>
          </w:tcPr>
          <w:p>
            <w:r>
              <w:t>Revisão do sistema de gestão de risco (Art. 9)</w:t>
            </w:r>
          </w:p>
        </w:tc>
        <w:tc>
          <w:tcPr>
            <w:tcW w:type="dxa" w:w="2351"/>
          </w:tcPr>
          <w:p>
            <w:r>
              <w:t>Em curso</w:t>
            </w:r>
          </w:p>
        </w:tc>
        <w:tc>
          <w:tcPr>
            <w:tcW w:type="dxa" w:w="2351"/>
          </w:tcPr>
          <w:p>
            <w:r>
              <w:t>Maria Silva</w:t>
            </w:r>
          </w:p>
        </w:tc>
        <w:tc>
          <w:tcPr>
            <w:tcW w:type="dxa" w:w="2351"/>
          </w:tcPr>
          <w:p>
            <w:r>
              <w:t>2026-03-22</w:t>
            </w:r>
          </w:p>
        </w:tc>
      </w:tr>
      <w:tr>
        <w:tc>
          <w:tcPr>
            <w:tcW w:type="dxa" w:w="2351"/>
          </w:tcPr>
          <w:p>
            <w:r>
              <w:t>Implementação de canary release</w:t>
            </w:r>
          </w:p>
        </w:tc>
        <w:tc>
          <w:tcPr>
            <w:tcW w:type="dxa" w:w="2351"/>
          </w:tcPr>
          <w:p>
            <w:r>
              <w:t>Em curso (90%)</w:t>
            </w:r>
          </w:p>
        </w:tc>
        <w:tc>
          <w:tcPr>
            <w:tcW w:type="dxa" w:w="2351"/>
          </w:tcPr>
          <w:p>
            <w:r>
              <w:t>Equipa DevOps</w:t>
            </w:r>
          </w:p>
        </w:tc>
        <w:tc>
          <w:tcPr>
            <w:tcW w:type="dxa" w:w="2351"/>
          </w:tcPr>
          <w:p>
            <w:r>
              <w:t>2026-03-15</w:t>
            </w:r>
          </w:p>
        </w:tc>
      </w:tr>
      <w:tr>
        <w:tc>
          <w:tcPr>
            <w:tcW w:type="dxa" w:w="2351"/>
          </w:tcPr>
          <w:p>
            <w:r>
              <w:t>Teste de regressão por escalão etário antes de release</w:t>
            </w:r>
          </w:p>
        </w:tc>
        <w:tc>
          <w:tcPr>
            <w:tcW w:type="dxa" w:w="2351"/>
          </w:tcPr>
          <w:p>
            <w:r>
              <w:t>Em curso (50%)</w:t>
            </w:r>
          </w:p>
        </w:tc>
        <w:tc>
          <w:tcPr>
            <w:tcW w:type="dxa" w:w="2351"/>
          </w:tcPr>
          <w:p>
            <w:r>
              <w:t>QA</w:t>
            </w:r>
          </w:p>
        </w:tc>
        <w:tc>
          <w:tcPr>
            <w:tcW w:type="dxa" w:w="2351"/>
          </w:tcPr>
          <w:p>
            <w:r>
              <w:t>2026-03-22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4. Cooperação</w:t>
      </w:r>
    </w:p>
    <w:p>
      <w:r>
        <w:rPr>
          <w:sz w:val="22"/>
        </w:rPr>
        <w:t>A TechMed está em cooperação ativa com ANACOM e CNCS. Reunião agendada para 2026-03-13 às 10h para apresentação dos detalhes técnicos.</w:t>
      </w:r>
    </w:p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