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Notificação a Pessoas Afetadas por Decisão de IA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Conforme Art. 26(11) - direito a saber e a explicação significativa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26(11)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Notificação a Pessoas Afetadas por Decisão de IA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Modelo aplicado a candidatos rejeitados pelo HR-Match.</w:t>
      </w:r>
    </w:p>
    <w:p>
      <w:pPr>
        <w:pStyle w:val="Heading2"/>
      </w:pPr>
      <w:r>
        <w:rPr>
          <w:rFonts w:ascii="Calibri" w:hAnsi="Calibri"/>
          <w:color w:val="0F172A"/>
        </w:rPr>
        <w:t>1. Quando notificar</w:t>
      </w:r>
    </w:p>
    <w:p>
      <w:r>
        <w:rPr>
          <w:sz w:val="22"/>
        </w:rPr>
        <w:t>A pessoa singular sujeita a decisão tomada com base no output de sistema IA de alto risco do Anexo III (que produza efeitos jurídicos ou afete significativamente) deve ser informada de forma clara e significativa.</w:t>
      </w:r>
    </w:p>
    <w:p>
      <w:pPr>
        <w:pStyle w:val="Heading2"/>
      </w:pPr>
      <w:r>
        <w:rPr>
          <w:rFonts w:ascii="Calibri" w:hAnsi="Calibri"/>
          <w:color w:val="0F172A"/>
        </w:rPr>
        <w:t>2. Modelo de email/carta - candidato HR-Match</w:t>
      </w:r>
    </w:p>
    <w:p>
      <w:r>
        <w:rPr>
          <w:sz w:val="22"/>
        </w:rPr>
        <w:t>─────────────────────────────────────────────────</w:t>
      </w:r>
    </w:p>
    <w:p>
      <w:r>
        <w:rPr>
          <w:b/>
          <w:sz w:val="22"/>
        </w:rPr>
        <w:t>Assunto: Resultado da sua candidatura - Vaga "Enfermeiro Triagem Hospital Faro" (REC-2026-156)</w:t>
      </w:r>
    </w:p>
    <w:p>
      <w:r>
        <w:rPr>
          <w:sz w:val="22"/>
        </w:rPr>
      </w:r>
    </w:p>
    <w:p>
      <w:r>
        <w:rPr>
          <w:b/>
          <w:sz w:val="22"/>
        </w:rPr>
        <w:t xml:space="preserve">Caro/a {{nome}}, </w:t>
      </w:r>
    </w:p>
    <w:p>
      <w:r>
        <w:rPr>
          <w:sz w:val="22"/>
        </w:rPr>
      </w:r>
    </w:p>
    <w:p>
      <w:r>
        <w:rPr>
          <w:sz w:val="22"/>
        </w:rPr>
        <w:t>Agradecemos o tempo dedicado à submissão da sua candidatura à vaga acima referida.</w:t>
      </w:r>
    </w:p>
    <w:p>
      <w:r>
        <w:rPr>
          <w:sz w:val="22"/>
        </w:rPr>
      </w:r>
    </w:p>
    <w:p>
      <w:r>
        <w:rPr>
          <w:sz w:val="22"/>
        </w:rPr>
        <w:t>Após análise inicial - apoiada pelo sistema HR-Match v1.0 (sistema de IA de alto risco classificado ao abrigo do Anexo III ponto 4(a) do Regulamento (UE) 2024/1689) e validada por revisores humanos - decidimos não avançar com a sua candidatura nesta fase.</w:t>
      </w:r>
    </w:p>
    <w:p>
      <w:r>
        <w:rPr>
          <w:sz w:val="22"/>
        </w:rPr>
      </w:r>
    </w:p>
    <w:p>
      <w:r>
        <w:rPr>
          <w:i/>
          <w:sz w:val="22"/>
        </w:rPr>
        <w:t>Os fatores que mais influenciaram esta análise foram:</w:t>
      </w:r>
    </w:p>
    <w:p>
      <w:r>
        <w:rPr>
          <w:sz w:val="22"/>
        </w:rPr>
        <w:t xml:space="preserve">  • Adequação do perfil de experiência clínica (peso aproximado: 40%)</w:t>
      </w:r>
    </w:p>
    <w:p>
      <w:r>
        <w:rPr>
          <w:sz w:val="22"/>
        </w:rPr>
        <w:t xml:space="preserve">  • Anos de experiência específica em triagem (peso: 25%)</w:t>
      </w:r>
    </w:p>
    <w:p>
      <w:r>
        <w:rPr>
          <w:sz w:val="22"/>
        </w:rPr>
        <w:t xml:space="preserve">  • Localização geográfica vs. vaga (peso: 15%)</w:t>
      </w:r>
    </w:p>
    <w:p>
      <w:r>
        <w:rPr>
          <w:sz w:val="22"/>
        </w:rPr>
        <w:t xml:space="preserve">  • Ajuste a competências comportamentais (peso: 20%)</w:t>
      </w:r>
    </w:p>
    <w:p>
      <w:r>
        <w:rPr>
          <w:sz w:val="22"/>
        </w:rPr>
      </w:r>
    </w:p>
    <w:p>
      <w:r>
        <w:rPr>
          <w:sz w:val="22"/>
        </w:rPr>
        <w:t>Tem direito a:</w:t>
      </w:r>
    </w:p>
    <w:p>
      <w:pPr>
        <w:pStyle w:val="ListBullet"/>
        <w:ind w:left="283"/>
      </w:pPr>
      <w:r>
        <w:rPr>
          <w:sz w:val="21"/>
        </w:rPr>
        <w:t>☐  Solicitar revisão da decisão por uma pessoa (resposta em 5 dias)</w:t>
      </w:r>
    </w:p>
    <w:p>
      <w:pPr>
        <w:pStyle w:val="ListBullet"/>
        <w:ind w:left="283"/>
      </w:pPr>
      <w:r>
        <w:rPr>
          <w:sz w:val="21"/>
        </w:rPr>
        <w:t>☐  Solicitar explicação detalhada e fundamentada (Art. 26(11))</w:t>
      </w:r>
    </w:p>
    <w:p>
      <w:pPr>
        <w:pStyle w:val="ListBullet"/>
        <w:ind w:left="283"/>
      </w:pPr>
      <w:r>
        <w:rPr>
          <w:sz w:val="21"/>
        </w:rPr>
        <w:t>☐  Apresentar reclamação à TechMed (queixas-ia@techmed-solutions.pt) ou à ANACOM (autoridade competente)</w:t>
      </w:r>
    </w:p>
    <w:p>
      <w:pPr>
        <w:pStyle w:val="ListBullet"/>
        <w:ind w:left="283"/>
      </w:pPr>
      <w:r>
        <w:rPr>
          <w:sz w:val="21"/>
        </w:rPr>
        <w:t>☐  Aceder e retificar os seus dados pessoais (RGPD)</w:t>
      </w:r>
    </w:p>
    <w:p>
      <w:pPr>
        <w:pStyle w:val="ListBullet"/>
        <w:ind w:left="283"/>
      </w:pPr>
      <w:r>
        <w:rPr>
          <w:sz w:val="21"/>
        </w:rPr>
        <w:t>☐  Reapresentar candidatura para futuras vagas</w:t>
      </w:r>
    </w:p>
    <w:p>
      <w:r>
        <w:rPr>
          <w:sz w:val="22"/>
        </w:rPr>
      </w:r>
    </w:p>
    <w:p>
      <w:r>
        <w:rPr>
          <w:sz w:val="22"/>
        </w:rPr>
        <w:t>Para qualquer questão, contacte recrutamento@techmed-solutions.pt ou 800 200 100.</w:t>
      </w:r>
    </w:p>
    <w:p>
      <w:r>
        <w:rPr>
          <w:sz w:val="22"/>
        </w:rPr>
      </w:r>
    </w:p>
    <w:p>
      <w:r>
        <w:rPr>
          <w:sz w:val="22"/>
        </w:rPr>
        <w:t>Com os melhores cumprimentos, Pedro Almeida - Diretor de Recursos Humanos</w:t>
      </w:r>
    </w:p>
    <w:p>
      <w:r>
        <w:rPr>
          <w:sz w:val="22"/>
        </w:rPr>
        <w:t>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rFonts w:ascii="Calibri" w:hAnsi="Calibri"/>
          <w:color w:val="0F172A"/>
        </w:rPr>
        <w:t>3. Princípios da comunicação</w:t>
      </w:r>
    </w:p>
    <w:p>
      <w:pPr>
        <w:pStyle w:val="ListBullet"/>
        <w:ind w:left="283"/>
      </w:pPr>
      <w:r>
        <w:rPr>
          <w:sz w:val="21"/>
        </w:rPr>
        <w:t>☑  Clareza - linguagem simples, evitar jargão técnico</w:t>
      </w:r>
    </w:p>
    <w:p>
      <w:pPr>
        <w:pStyle w:val="ListBullet"/>
        <w:ind w:left="283"/>
      </w:pPr>
      <w:r>
        <w:rPr>
          <w:sz w:val="21"/>
        </w:rPr>
        <w:t>☑  Concisão - pontos-chave em 1 página</w:t>
      </w:r>
    </w:p>
    <w:p>
      <w:pPr>
        <w:pStyle w:val="ListBullet"/>
        <w:ind w:left="283"/>
      </w:pPr>
      <w:r>
        <w:rPr>
          <w:sz w:val="21"/>
        </w:rPr>
        <w:t>☑  Significância - fatores principais, não rótulo "computado por IA"</w:t>
      </w:r>
    </w:p>
    <w:p>
      <w:pPr>
        <w:pStyle w:val="ListBullet"/>
        <w:ind w:left="283"/>
      </w:pPr>
      <w:r>
        <w:rPr>
          <w:sz w:val="21"/>
        </w:rPr>
        <w:t>☑  Acessibilidade - disponibilidade em formato alternativo se solicitado</w:t>
      </w:r>
    </w:p>
    <w:p>
      <w:pPr>
        <w:pStyle w:val="ListBullet"/>
        <w:ind w:left="283"/>
      </w:pPr>
      <w:r>
        <w:rPr>
          <w:sz w:val="21"/>
        </w:rPr>
        <w:t>☑  Atempada - máximo 5 dias úteis após decisão</w:t>
      </w:r>
    </w:p>
    <w:p>
      <w:pPr>
        <w:pStyle w:val="ListBullet"/>
        <w:ind w:left="283"/>
      </w:pPr>
      <w:r>
        <w:rPr>
          <w:sz w:val="21"/>
        </w:rPr>
        <w:t>☑  Honesta - sem omitir nem inventar capacidades</w:t>
      </w:r>
    </w:p>
    <w:p>
      <w:pPr>
        <w:pStyle w:val="Heading2"/>
      </w:pPr>
      <w:r>
        <w:rPr>
          <w:rFonts w:ascii="Calibri" w:hAnsi="Calibri"/>
          <w:color w:val="0F172A"/>
        </w:rPr>
        <w:t>4. Casos especiais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0F172A"/>
          </w:tcPr>
          <w:p>
            <w:r>
              <w:rPr>
                <w:b/>
                <w:color w:val="FFFFFF"/>
              </w:rPr>
              <w:t>Tipo de decisão</w:t>
            </w:r>
          </w:p>
        </w:tc>
        <w:tc>
          <w:tcPr>
            <w:tcW w:type="dxa" w:w="4703"/>
            <w:shd w:val="clear" w:color="auto" w:fill="0F172A"/>
          </w:tcPr>
          <w:p>
            <w:r>
              <w:rPr>
                <w:b/>
                <w:color w:val="FFFFFF"/>
              </w:rPr>
              <w:t>Especificidade</w:t>
            </w:r>
          </w:p>
        </w:tc>
      </w:tr>
      <w:tr>
        <w:tc>
          <w:tcPr>
            <w:tcW w:type="dxa" w:w="4703"/>
          </w:tcPr>
          <w:p>
            <w:r>
              <w:t>Decisão denegatória de crédito</w:t>
            </w:r>
          </w:p>
        </w:tc>
        <w:tc>
          <w:tcPr>
            <w:tcW w:type="dxa" w:w="4703"/>
          </w:tcPr>
          <w:p>
            <w:r>
              <w:t>Inclui motivo + score + direito a explicação detalhada (RGPD Art. 22 + AI Act Art. 26(11))</w:t>
            </w:r>
          </w:p>
        </w:tc>
      </w:tr>
      <w:tr>
        <w:tc>
          <w:tcPr>
            <w:tcW w:type="dxa" w:w="4703"/>
          </w:tcPr>
          <w:p>
            <w:r>
              <w:t>Decisão clínica afetando triagem</w:t>
            </w:r>
          </w:p>
        </w:tc>
        <w:tc>
          <w:tcPr>
            <w:tcW w:type="dxa" w:w="4703"/>
          </w:tcPr>
          <w:p>
            <w:r>
              <w:t>Médico responsável explica em pessoa; não comunicação por carta</w:t>
            </w:r>
          </w:p>
        </w:tc>
      </w:tr>
      <w:tr>
        <w:tc>
          <w:tcPr>
            <w:tcW w:type="dxa" w:w="4703"/>
          </w:tcPr>
          <w:p>
            <w:r>
              <w:t>Decisão sobre prestação social</w:t>
            </w:r>
          </w:p>
        </w:tc>
        <w:tc>
          <w:tcPr>
            <w:tcW w:type="dxa" w:w="4703"/>
          </w:tcPr>
          <w:p>
            <w:r>
              <w:t>Comunicação formal + canal de recurso administrativo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