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Notificação de Risco à Autoridade Competente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Modelo conforme Art. 79 - risco identificado pelo provider/deployer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Art. 79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Notificação de Risco à Autoridade Competente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Modelo distinto do Art. 73 (incidente). Aplica-se quando há risco material identificado mas sem incidente materializado.</w:t>
      </w:r>
    </w:p>
    <w:p>
      <w:pPr>
        <w:pStyle w:val="Heading2"/>
      </w:pPr>
      <w:r>
        <w:rPr>
          <w:rFonts w:ascii="Calibri" w:hAnsi="Calibri"/>
          <w:color w:val="0F172A"/>
        </w:rPr>
        <w:t>1. Quando notificar (Art. 79)</w:t>
      </w:r>
    </w:p>
    <w:p>
      <w:r>
        <w:rPr>
          <w:sz w:val="22"/>
        </w:rPr>
        <w:t>Quando o operador (provider, deployer ou outros) considere ou tenha motivos para considerar que um sistema de IA de alto risco apresenta risco para a saúde, segurança ou direitos fundamentais (não conformidade), deve informar imediatamente as autoridades de fiscalização do mercado dos Estados-Membros relevantes e, se aplicável, o organismo notificado.</w:t>
      </w:r>
    </w:p>
    <w:p>
      <w:pPr>
        <w:pStyle w:val="Heading2"/>
      </w:pPr>
      <w:r>
        <w:rPr>
          <w:rFonts w:ascii="Calibri" w:hAnsi="Calibri"/>
          <w:color w:val="0F172A"/>
        </w:rPr>
        <w:t>2. Identificação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Notificante</w:t>
            </w:r>
          </w:p>
        </w:tc>
        <w:tc>
          <w:tcPr>
            <w:tcW w:type="dxa" w:w="6236"/>
          </w:tcPr>
          <w:p>
            <w:r>
              <w:t>TechMed Solutions, S.A., NIPC 511 234 567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Contacto</w:t>
            </w:r>
          </w:p>
        </w:tc>
        <w:tc>
          <w:tcPr>
            <w:tcW w:type="dxa" w:w="6236"/>
          </w:tcPr>
          <w:p>
            <w:r>
              <w:t>Maria Silva, maria.silva@techmed-solutions.pt, +351 21 000 0001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Sistema</w:t>
            </w:r>
          </w:p>
        </w:tc>
        <w:tc>
          <w:tcPr>
            <w:tcW w:type="dxa" w:w="6236"/>
          </w:tcPr>
          <w:p>
            <w:r>
              <w:t>[Sistema afetado, ex: MedTriage AI v3.x.x]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Papel</w:t>
            </w:r>
          </w:p>
        </w:tc>
        <w:tc>
          <w:tcPr>
            <w:tcW w:type="dxa" w:w="6236"/>
          </w:tcPr>
          <w:p>
            <w:r>
              <w:t>Provider / Deployer / Importer / Distributor (riscar o que aplicável)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Data desta notificação</w:t>
            </w:r>
          </w:p>
        </w:tc>
        <w:tc>
          <w:tcPr>
            <w:tcW w:type="dxa" w:w="6236"/>
          </w:tcPr>
          <w:p>
            <w:r>
              <w:t>[YYYY-MM-DD]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3. Descrição do risco identificado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Natureza do risco</w:t>
            </w:r>
          </w:p>
        </w:tc>
        <w:tc>
          <w:tcPr>
            <w:tcW w:type="dxa" w:w="6236"/>
          </w:tcPr>
          <w:p>
            <w:r>
              <w:t>Exemplo: "Identificámos um padrão de outputs em que pacientes com nome de origem africana recebem uma classe MTS inferior à esperada estatisticamente, com diferença de 8% em sample de 10.000 casos. Investigação inicial sugere correlação com variável socioeconómica não-controlada."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Direitos potencialmente afetados</w:t>
            </w:r>
          </w:p>
        </w:tc>
        <w:tc>
          <w:tcPr>
            <w:tcW w:type="dxa" w:w="6236"/>
          </w:tcPr>
          <w:p>
            <w:r>
              <w:t>Não-discriminação (CDFUE Art. 21); igualdade no acesso a cuidados de saúde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Volume estimado de pessoas</w:t>
            </w:r>
          </w:p>
        </w:tc>
        <w:tc>
          <w:tcPr>
            <w:tcW w:type="dxa" w:w="6236"/>
          </w:tcPr>
          <w:p>
            <w:r>
              <w:t>Aproximadamente 1.500 pacientes/mês podem estar a ser sub-prioritizados em comparação com baseline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Sistema corre risco de incumprimento</w:t>
            </w:r>
          </w:p>
        </w:tc>
        <w:tc>
          <w:tcPr>
            <w:tcW w:type="dxa" w:w="6236"/>
          </w:tcPr>
          <w:p>
            <w:r>
              <w:t>Sim - Art. 10 (vieses) + Art. 9 (gestão de risco insuficiente)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4. Medidas tomadas e em curso</w:t>
      </w:r>
    </w:p>
    <w:p>
      <w:pPr>
        <w:pStyle w:val="ListBullet"/>
        <w:ind w:left="283"/>
      </w:pPr>
      <w:r>
        <w:rPr>
          <w:sz w:val="21"/>
        </w:rPr>
        <w:t>☐  Suspensão temporária para reavaliação completa (sim/não)</w:t>
      </w:r>
    </w:p>
    <w:p>
      <w:pPr>
        <w:pStyle w:val="ListBullet"/>
        <w:ind w:left="283"/>
      </w:pPr>
      <w:r>
        <w:rPr>
          <w:sz w:val="21"/>
        </w:rPr>
        <w:t>☐  Auditoria emergente de viés iniciada</w:t>
      </w:r>
    </w:p>
    <w:p>
      <w:pPr>
        <w:pStyle w:val="ListBullet"/>
        <w:ind w:left="283"/>
      </w:pPr>
      <w:r>
        <w:rPr>
          <w:sz w:val="21"/>
        </w:rPr>
        <w:t>☐  Comunicação ao Comité IA</w:t>
      </w:r>
    </w:p>
    <w:p>
      <w:pPr>
        <w:pStyle w:val="ListBullet"/>
        <w:ind w:left="283"/>
      </w:pPr>
      <w:r>
        <w:rPr>
          <w:sz w:val="21"/>
        </w:rPr>
        <w:t>☐  Comunicação ao DPO</w:t>
      </w:r>
    </w:p>
    <w:p>
      <w:pPr>
        <w:pStyle w:val="ListBullet"/>
        <w:ind w:left="283"/>
      </w:pPr>
      <w:r>
        <w:rPr>
          <w:sz w:val="21"/>
        </w:rPr>
        <w:t>☐  Plano de remediação técnica (retreino, ajuste threshold)</w:t>
      </w:r>
    </w:p>
    <w:p>
      <w:pPr>
        <w:pStyle w:val="ListBullet"/>
        <w:ind w:left="283"/>
      </w:pPr>
      <w:r>
        <w:rPr>
          <w:sz w:val="21"/>
        </w:rPr>
        <w:t>☐  Comunicação aos hospitais parceiros</w:t>
      </w:r>
    </w:p>
    <w:p>
      <w:pPr>
        <w:pStyle w:val="Heading2"/>
      </w:pPr>
      <w:r>
        <w:rPr>
          <w:rFonts w:ascii="Calibri" w:hAnsi="Calibri"/>
          <w:color w:val="0F172A"/>
        </w:rPr>
        <w:t>5. Pedido à autoridade</w:t>
      </w:r>
    </w:p>
    <w:p>
      <w:r>
        <w:rPr>
          <w:sz w:val="22"/>
        </w:rPr>
        <w:t>Solicitamos orientação técnica/jurídica sobre: (i) se a situação atual constitui incumprimento material; (ii) se medidas adicionais são exigíveis; (iii) prazo razoável para implementação da remediação. Disponíveis para reunião urgente.</w:t>
      </w:r>
    </w:p>
    <w:p>
      <w:pPr>
        <w:pStyle w:val="Heading2"/>
      </w:pPr>
      <w:r>
        <w:rPr>
          <w:rFonts w:ascii="Calibri" w:hAnsi="Calibri"/>
          <w:color w:val="0F172A"/>
        </w:rPr>
        <w:t>6. Anexos disponíveis sob solicitação</w:t>
      </w:r>
    </w:p>
    <w:p>
      <w:pPr>
        <w:pStyle w:val="ListBullet"/>
        <w:ind w:left="283"/>
      </w:pPr>
      <w:r>
        <w:rPr>
          <w:sz w:val="21"/>
        </w:rPr>
        <w:t>☑  Análise estatística completa</w:t>
      </w:r>
    </w:p>
    <w:p>
      <w:pPr>
        <w:pStyle w:val="ListBullet"/>
        <w:ind w:left="283"/>
      </w:pPr>
      <w:r>
        <w:rPr>
          <w:sz w:val="21"/>
        </w:rPr>
        <w:t>☑  Logs de 10.000 casos analisados</w:t>
      </w:r>
    </w:p>
    <w:p>
      <w:pPr>
        <w:pStyle w:val="ListBullet"/>
        <w:ind w:left="283"/>
      </w:pPr>
      <w:r>
        <w:rPr>
          <w:sz w:val="21"/>
        </w:rPr>
        <w:t>☑  Plano de remediação proposto</w:t>
      </w:r>
    </w:p>
    <w:p>
      <w:pPr>
        <w:pStyle w:val="ListBullet"/>
        <w:ind w:left="283"/>
      </w:pPr>
      <w:r>
        <w:rPr>
          <w:sz w:val="21"/>
        </w:rPr>
        <w:t>☑  Documentação técnica (Anexo IV) atualizada</w:t>
      </w:r>
    </w:p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