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Auditoria Interna AI Act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POL-AUD-001 v1.0 - Auditoria do QMS e conformidade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17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Auditoria Interna AI Act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Plano anual TechMed - programa real Q1 2026 incluído.</w:t>
      </w:r>
    </w:p>
    <w:p>
      <w:pPr>
        <w:pStyle w:val="Heading2"/>
      </w:pPr>
      <w:r>
        <w:rPr>
          <w:rFonts w:ascii="Calibri" w:hAnsi="Calibri"/>
          <w:color w:val="0F172A"/>
        </w:rPr>
        <w:t>1. Programa anual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Trimestre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Foco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Sistemas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Score</w:t>
            </w:r>
          </w:p>
        </w:tc>
      </w:tr>
      <w:tr>
        <w:tc>
          <w:tcPr>
            <w:tcW w:type="dxa" w:w="1881"/>
          </w:tcPr>
          <w:p>
            <w:r>
              <w:t>Q1</w:t>
            </w:r>
          </w:p>
        </w:tc>
        <w:tc>
          <w:tcPr>
            <w:tcW w:type="dxa" w:w="1881"/>
          </w:tcPr>
          <w:p>
            <w:r>
              <w:t>QMS + classificação risco</w:t>
            </w:r>
          </w:p>
        </w:tc>
        <w:tc>
          <w:tcPr>
            <w:tcW w:type="dxa" w:w="1881"/>
          </w:tcPr>
          <w:p>
            <w:r>
              <w:t>MedTriage, HR-Match</w:t>
            </w:r>
          </w:p>
        </w:tc>
        <w:tc>
          <w:tcPr>
            <w:tcW w:type="dxa" w:w="1881"/>
          </w:tcPr>
          <w:p>
            <w:r>
              <w:t>✓ Concluída 2026-04-05</w:t>
            </w:r>
          </w:p>
        </w:tc>
        <w:tc>
          <w:tcPr>
            <w:tcW w:type="dxa" w:w="1881"/>
          </w:tcPr>
          <w:p>
            <w:r>
              <w:t>92%</w:t>
            </w:r>
          </w:p>
        </w:tc>
      </w:tr>
      <w:tr>
        <w:tc>
          <w:tcPr>
            <w:tcW w:type="dxa" w:w="1881"/>
          </w:tcPr>
          <w:p>
            <w:r>
              <w:t>Q2</w:t>
            </w:r>
          </w:p>
        </w:tc>
        <w:tc>
          <w:tcPr>
            <w:tcW w:type="dxa" w:w="1881"/>
          </w:tcPr>
          <w:p>
            <w:r>
              <w:t>Governança de dados + viés</w:t>
            </w:r>
          </w:p>
        </w:tc>
        <w:tc>
          <w:tcPr>
            <w:tcW w:type="dxa" w:w="1881"/>
          </w:tcPr>
          <w:p>
            <w:r>
              <w:t>MedTriage, HR-Match</w:t>
            </w:r>
          </w:p>
        </w:tc>
        <w:tc>
          <w:tcPr>
            <w:tcW w:type="dxa" w:w="1881"/>
          </w:tcPr>
          <w:p>
            <w:r>
              <w:t>Planeada 2026-06</w:t>
            </w:r>
          </w:p>
        </w:tc>
        <w:tc>
          <w:tcPr>
            <w:tcW w:type="dxa" w:w="1881"/>
          </w:tcPr>
          <w:p>
            <w:r>
              <w:t>-</w:t>
            </w:r>
          </w:p>
        </w:tc>
      </w:tr>
      <w:tr>
        <w:tc>
          <w:tcPr>
            <w:tcW w:type="dxa" w:w="1881"/>
          </w:tcPr>
          <w:p>
            <w:r>
              <w:t>Q3</w:t>
            </w:r>
          </w:p>
        </w:tc>
        <w:tc>
          <w:tcPr>
            <w:tcW w:type="dxa" w:w="1881"/>
          </w:tcPr>
          <w:p>
            <w:r>
              <w:t>Cibersegurança + logging</w:t>
            </w:r>
          </w:p>
        </w:tc>
        <w:tc>
          <w:tcPr>
            <w:tcW w:type="dxa" w:w="1881"/>
          </w:tcPr>
          <w:p>
            <w:r>
              <w:t>Todos</w:t>
            </w:r>
          </w:p>
        </w:tc>
        <w:tc>
          <w:tcPr>
            <w:tcW w:type="dxa" w:w="1881"/>
          </w:tcPr>
          <w:p>
            <w:r>
              <w:t>Planeada 2026-09</w:t>
            </w:r>
          </w:p>
        </w:tc>
        <w:tc>
          <w:tcPr>
            <w:tcW w:type="dxa" w:w="1881"/>
          </w:tcPr>
          <w:p>
            <w:r>
              <w:t>-</w:t>
            </w:r>
          </w:p>
        </w:tc>
      </w:tr>
      <w:tr>
        <w:tc>
          <w:tcPr>
            <w:tcW w:type="dxa" w:w="1881"/>
          </w:tcPr>
          <w:p>
            <w:r>
              <w:t>Q4</w:t>
            </w:r>
          </w:p>
        </w:tc>
        <w:tc>
          <w:tcPr>
            <w:tcW w:type="dxa" w:w="1881"/>
          </w:tcPr>
          <w:p>
            <w:r>
              <w:t>Pós-mercado + gestão incidentes</w:t>
            </w:r>
          </w:p>
        </w:tc>
        <w:tc>
          <w:tcPr>
            <w:tcW w:type="dxa" w:w="1881"/>
          </w:tcPr>
          <w:p>
            <w:r>
              <w:t>Todos + retrospetiva anual</w:t>
            </w:r>
          </w:p>
        </w:tc>
        <w:tc>
          <w:tcPr>
            <w:tcW w:type="dxa" w:w="1881"/>
          </w:tcPr>
          <w:p>
            <w:r>
              <w:t>Planeada 2026-12</w:t>
            </w:r>
          </w:p>
        </w:tc>
        <w:tc>
          <w:tcPr>
            <w:tcW w:type="dxa" w:w="1881"/>
          </w:tcPr>
          <w:p>
            <w:r>
              <w:t>-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Equipa de auditoria interna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Auditor-chefe</w:t>
            </w:r>
          </w:p>
        </w:tc>
        <w:tc>
          <w:tcPr>
            <w:tcW w:type="dxa" w:w="6236"/>
          </w:tcPr>
          <w:p>
            <w:r>
              <w:t>Carla Sousa (Compliance Manager)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 IA</w:t>
            </w:r>
          </w:p>
        </w:tc>
        <w:tc>
          <w:tcPr>
            <w:tcW w:type="dxa" w:w="6236"/>
          </w:tcPr>
          <w:p>
            <w:r>
              <w:t>Maria Silva (rotação com auditor externo)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 segurança</w:t>
            </w:r>
          </w:p>
        </w:tc>
        <w:tc>
          <w:tcPr>
            <w:tcW w:type="dxa" w:w="6236"/>
          </w:tcPr>
          <w:p>
            <w:r>
              <w:t>Ana Costa (CISO)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 privacidade</w:t>
            </w:r>
          </w:p>
        </w:tc>
        <w:tc>
          <w:tcPr>
            <w:tcW w:type="dxa" w:w="6236"/>
          </w:tcPr>
          <w:p>
            <w:r>
              <w:t>João Santos (DPO)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Independência</w:t>
            </w:r>
          </w:p>
        </w:tc>
        <w:tc>
          <w:tcPr>
            <w:tcW w:type="dxa" w:w="6236"/>
          </w:tcPr>
          <w:p>
            <w:r>
              <w:t>Auditores não auditam sistemas onde têm responsabilidade direta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Metodologia</w:t>
      </w:r>
    </w:p>
    <w:p>
      <w:pPr>
        <w:pStyle w:val="ListBullet"/>
        <w:ind w:left="283"/>
      </w:pPr>
      <w:r>
        <w:rPr>
          <w:sz w:val="21"/>
        </w:rPr>
        <w:t>☑  Análise documental (políticas, procedimentos, registos)</w:t>
      </w:r>
    </w:p>
    <w:p>
      <w:pPr>
        <w:pStyle w:val="ListBullet"/>
        <w:ind w:left="283"/>
      </w:pPr>
      <w:r>
        <w:rPr>
          <w:sz w:val="21"/>
        </w:rPr>
        <w:t>☑  Entrevistas com responsáveis (mín. 3 por sistema auditado)</w:t>
      </w:r>
    </w:p>
    <w:p>
      <w:pPr>
        <w:pStyle w:val="ListBullet"/>
        <w:ind w:left="283"/>
      </w:pPr>
      <w:r>
        <w:rPr>
          <w:sz w:val="21"/>
        </w:rPr>
        <w:t>☑  Observação direta (operação em produção, formação, reuniões)</w:t>
      </w:r>
    </w:p>
    <w:p>
      <w:pPr>
        <w:pStyle w:val="ListBullet"/>
        <w:ind w:left="283"/>
      </w:pPr>
      <w:r>
        <w:rPr>
          <w:sz w:val="21"/>
        </w:rPr>
        <w:t>☑  Análise de logs e métricas (sample 100 inferências/sistema)</w:t>
      </w:r>
    </w:p>
    <w:p>
      <w:pPr>
        <w:pStyle w:val="ListBullet"/>
        <w:ind w:left="283"/>
      </w:pPr>
      <w:r>
        <w:rPr>
          <w:sz w:val="21"/>
        </w:rPr>
        <w:t>☑  Walkthrough de processos (e.g. notificação Art. 73)</w:t>
      </w:r>
    </w:p>
    <w:p>
      <w:pPr>
        <w:pStyle w:val="ListBullet"/>
        <w:ind w:left="283"/>
      </w:pPr>
      <w:r>
        <w:rPr>
          <w:sz w:val="21"/>
        </w:rPr>
        <w:t>☑  Validação cruzada com fornecedores (cláusula contratual)</w:t>
      </w:r>
    </w:p>
    <w:p>
      <w:pPr>
        <w:pStyle w:val="Heading2"/>
      </w:pPr>
      <w:r>
        <w:rPr>
          <w:rFonts w:ascii="Calibri" w:hAnsi="Calibri"/>
          <w:color w:val="0F172A"/>
        </w:rPr>
        <w:t>4. NCs (Não-Conformidades) - categorização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Tipo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Definição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Prazo remediação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Tratamento</w:t>
            </w:r>
          </w:p>
        </w:tc>
      </w:tr>
      <w:tr>
        <w:tc>
          <w:tcPr>
            <w:tcW w:type="dxa" w:w="2351"/>
          </w:tcPr>
          <w:p>
            <w:r>
              <w:t>Crítica</w:t>
            </w:r>
          </w:p>
        </w:tc>
        <w:tc>
          <w:tcPr>
            <w:tcW w:type="dxa" w:w="2351"/>
          </w:tcPr>
          <w:p>
            <w:r>
              <w:t>Risco material para conformidade ou direitos fundamentais</w:t>
            </w:r>
          </w:p>
        </w:tc>
        <w:tc>
          <w:tcPr>
            <w:tcW w:type="dxa" w:w="2351"/>
          </w:tcPr>
          <w:p>
            <w:r>
              <w:t>7 dias</w:t>
            </w:r>
          </w:p>
        </w:tc>
        <w:tc>
          <w:tcPr>
            <w:tcW w:type="dxa" w:w="2351"/>
          </w:tcPr>
          <w:p>
            <w:r>
              <w:t>Pode bloquear operação</w:t>
            </w:r>
          </w:p>
        </w:tc>
      </w:tr>
      <w:tr>
        <w:tc>
          <w:tcPr>
            <w:tcW w:type="dxa" w:w="2351"/>
          </w:tcPr>
          <w:p>
            <w:r>
              <w:t>Maior</w:t>
            </w:r>
          </w:p>
        </w:tc>
        <w:tc>
          <w:tcPr>
            <w:tcW w:type="dxa" w:w="2351"/>
          </w:tcPr>
          <w:p>
            <w:r>
              <w:t>Lacuna sistemática mas sem risco imediato</w:t>
            </w:r>
          </w:p>
        </w:tc>
        <w:tc>
          <w:tcPr>
            <w:tcW w:type="dxa" w:w="2351"/>
          </w:tcPr>
          <w:p>
            <w:r>
              <w:t>30 dias</w:t>
            </w:r>
          </w:p>
        </w:tc>
        <w:tc>
          <w:tcPr>
            <w:tcW w:type="dxa" w:w="2351"/>
          </w:tcPr>
          <w:p>
            <w:r>
              <w:t>Plano de ação obrigatório</w:t>
            </w:r>
          </w:p>
        </w:tc>
      </w:tr>
      <w:tr>
        <w:tc>
          <w:tcPr>
            <w:tcW w:type="dxa" w:w="2351"/>
          </w:tcPr>
          <w:p>
            <w:r>
              <w:t>Menor</w:t>
            </w:r>
          </w:p>
        </w:tc>
        <w:tc>
          <w:tcPr>
            <w:tcW w:type="dxa" w:w="2351"/>
          </w:tcPr>
          <w:p>
            <w:r>
              <w:t>Desvio pontual, baixo risco</w:t>
            </w:r>
          </w:p>
        </w:tc>
        <w:tc>
          <w:tcPr>
            <w:tcW w:type="dxa" w:w="2351"/>
          </w:tcPr>
          <w:p>
            <w:r>
              <w:t>90 dias</w:t>
            </w:r>
          </w:p>
        </w:tc>
        <w:tc>
          <w:tcPr>
            <w:tcW w:type="dxa" w:w="2351"/>
          </w:tcPr>
          <w:p>
            <w:r>
              <w:t>Plano de ação recomendado</w:t>
            </w:r>
          </w:p>
        </w:tc>
      </w:tr>
      <w:tr>
        <w:tc>
          <w:tcPr>
            <w:tcW w:type="dxa" w:w="2351"/>
          </w:tcPr>
          <w:p>
            <w:r>
              <w:t>Observação</w:t>
            </w:r>
          </w:p>
        </w:tc>
        <w:tc>
          <w:tcPr>
            <w:tcW w:type="dxa" w:w="2351"/>
          </w:tcPr>
          <w:p>
            <w:r>
              <w:t>Oportunidade de melhoria</w:t>
            </w:r>
          </w:p>
        </w:tc>
        <w:tc>
          <w:tcPr>
            <w:tcW w:type="dxa" w:w="2351"/>
          </w:tcPr>
          <w:p>
            <w:r>
              <w:t>Próximo ciclo</w:t>
            </w:r>
          </w:p>
        </w:tc>
        <w:tc>
          <w:tcPr>
            <w:tcW w:type="dxa" w:w="2351"/>
          </w:tcPr>
          <w:p>
            <w:r>
              <w:t>Considerar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Resultados Q1 2026 (real)</w:t>
      </w:r>
    </w:p>
    <w:p>
      <w:r>
        <w:rPr>
          <w:sz w:val="22"/>
        </w:rPr>
        <w:t>Score global: 92% (vs 87% Q4 2025). Fechadas: 8 menores. Abertas: 2 maiores (em remediação até Q3): (M-2026-01) Documentação técnica HR-Match incompleta na secção 5; (M-2026-02) Cobertura literacia IA em 99.6%, alvo 100%.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