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Avaliação de Viés (Bias Assessment Plan)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POL-VIES-001 v1.0 - Conforme Art. 10(2)(f-h) e Art. 15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10 + 15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Avaliação de Viés (Bias Assessment Plan)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Plano efetivamente em execução para MedTriage e HR-Match.</w:t>
      </w:r>
    </w:p>
    <w:p>
      <w:pPr>
        <w:pStyle w:val="Heading2"/>
      </w:pPr>
      <w:r>
        <w:rPr>
          <w:rFonts w:ascii="Calibri" w:hAnsi="Calibri"/>
          <w:color w:val="0F172A"/>
        </w:rPr>
        <w:t>1. Subgrupos a auditar (sistematicamente)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Subgrupo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Categorias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Sistemas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Frequência</w:t>
            </w:r>
          </w:p>
        </w:tc>
      </w:tr>
      <w:tr>
        <w:tc>
          <w:tcPr>
            <w:tcW w:type="dxa" w:w="2351"/>
          </w:tcPr>
          <w:p>
            <w:r>
              <w:t>Idade</w:t>
            </w:r>
          </w:p>
        </w:tc>
        <w:tc>
          <w:tcPr>
            <w:tcW w:type="dxa" w:w="2351"/>
          </w:tcPr>
          <w:p>
            <w:r>
              <w:t>5 escalões: &lt;18, 18-30, 31-50, 51-70, &gt;70</w:t>
            </w:r>
          </w:p>
        </w:tc>
        <w:tc>
          <w:tcPr>
            <w:tcW w:type="dxa" w:w="2351"/>
          </w:tcPr>
          <w:p>
            <w:r>
              <w:t>MedTriage</w:t>
            </w:r>
          </w:p>
        </w:tc>
        <w:tc>
          <w:tcPr>
            <w:tcW w:type="dxa" w:w="2351"/>
          </w:tcPr>
          <w:p>
            <w:r>
              <w:t>Mensal</w:t>
            </w:r>
          </w:p>
        </w:tc>
      </w:tr>
      <w:tr>
        <w:tc>
          <w:tcPr>
            <w:tcW w:type="dxa" w:w="2351"/>
          </w:tcPr>
          <w:p>
            <w:r>
              <w:t>Género</w:t>
            </w:r>
          </w:p>
        </w:tc>
        <w:tc>
          <w:tcPr>
            <w:tcW w:type="dxa" w:w="2351"/>
          </w:tcPr>
          <w:p>
            <w:r>
              <w:t>M, F, Outro/NB</w:t>
            </w:r>
          </w:p>
        </w:tc>
        <w:tc>
          <w:tcPr>
            <w:tcW w:type="dxa" w:w="2351"/>
          </w:tcPr>
          <w:p>
            <w:r>
              <w:t>MedTriage, HR-Match</w:t>
            </w:r>
          </w:p>
        </w:tc>
        <w:tc>
          <w:tcPr>
            <w:tcW w:type="dxa" w:w="2351"/>
          </w:tcPr>
          <w:p>
            <w:r>
              <w:t>Mensal</w:t>
            </w:r>
          </w:p>
        </w:tc>
      </w:tr>
      <w:tr>
        <w:tc>
          <w:tcPr>
            <w:tcW w:type="dxa" w:w="2351"/>
          </w:tcPr>
          <w:p>
            <w:r>
              <w:t>Região</w:t>
            </w:r>
          </w:p>
        </w:tc>
        <w:tc>
          <w:tcPr>
            <w:tcW w:type="dxa" w:w="2351"/>
          </w:tcPr>
          <w:p>
            <w:r>
              <w:t>NUTS II (Norte, Centro, AML, Alentejo, Algarve, Açores, Madeira)</w:t>
            </w:r>
          </w:p>
        </w:tc>
        <w:tc>
          <w:tcPr>
            <w:tcW w:type="dxa" w:w="2351"/>
          </w:tcPr>
          <w:p>
            <w:r>
              <w:t>Ambos</w:t>
            </w:r>
          </w:p>
        </w:tc>
        <w:tc>
          <w:tcPr>
            <w:tcW w:type="dxa" w:w="2351"/>
          </w:tcPr>
          <w:p>
            <w:r>
              <w:t>Trimestral</w:t>
            </w:r>
          </w:p>
        </w:tc>
      </w:tr>
      <w:tr>
        <w:tc>
          <w:tcPr>
            <w:tcW w:type="dxa" w:w="2351"/>
          </w:tcPr>
          <w:p>
            <w:r>
              <w:t>Etnia (proxy nome)</w:t>
            </w:r>
          </w:p>
        </w:tc>
        <w:tc>
          <w:tcPr>
            <w:tcW w:type="dxa" w:w="2351"/>
          </w:tcPr>
          <w:p>
            <w:r>
              <w:t>Lusitana, lusófona, latina, eslava, outra</w:t>
            </w:r>
          </w:p>
        </w:tc>
        <w:tc>
          <w:tcPr>
            <w:tcW w:type="dxa" w:w="2351"/>
          </w:tcPr>
          <w:p>
            <w:r>
              <w:t>HR-Match (auditoria especial)</w:t>
            </w:r>
          </w:p>
        </w:tc>
        <w:tc>
          <w:tcPr>
            <w:tcW w:type="dxa" w:w="2351"/>
          </w:tcPr>
          <w:p>
            <w:r>
              <w:t>Mensal</w:t>
            </w:r>
          </w:p>
        </w:tc>
      </w:tr>
      <w:tr>
        <w:tc>
          <w:tcPr>
            <w:tcW w:type="dxa" w:w="2351"/>
          </w:tcPr>
          <w:p>
            <w:r>
              <w:t>Deficiência</w:t>
            </w:r>
          </w:p>
        </w:tc>
        <w:tc>
          <w:tcPr>
            <w:tcW w:type="dxa" w:w="2351"/>
          </w:tcPr>
          <w:p>
            <w:r>
              <w:t>Indicadores no histórico clínico (consentimento)</w:t>
            </w:r>
          </w:p>
        </w:tc>
        <w:tc>
          <w:tcPr>
            <w:tcW w:type="dxa" w:w="2351"/>
          </w:tcPr>
          <w:p>
            <w:r>
              <w:t>MedTriage</w:t>
            </w:r>
          </w:p>
        </w:tc>
        <w:tc>
          <w:tcPr>
            <w:tcW w:type="dxa" w:w="2351"/>
          </w:tcPr>
          <w:p>
            <w:r>
              <w:t>Trimestral</w:t>
            </w:r>
          </w:p>
        </w:tc>
      </w:tr>
      <w:tr>
        <w:tc>
          <w:tcPr>
            <w:tcW w:type="dxa" w:w="2351"/>
          </w:tcPr>
          <w:p>
            <w:r>
              <w:t>Nível socioeconómico (proxy CP)</w:t>
            </w:r>
          </w:p>
        </w:tc>
        <w:tc>
          <w:tcPr>
            <w:tcW w:type="dxa" w:w="2351"/>
          </w:tcPr>
          <w:p>
            <w:r>
              <w:t>Quartis código postal</w:t>
            </w:r>
          </w:p>
        </w:tc>
        <w:tc>
          <w:tcPr>
            <w:tcW w:type="dxa" w:w="2351"/>
          </w:tcPr>
          <w:p>
            <w:r>
              <w:t>HR-Match</w:t>
            </w:r>
          </w:p>
        </w:tc>
        <w:tc>
          <w:tcPr>
            <w:tcW w:type="dxa" w:w="2351"/>
          </w:tcPr>
          <w:p>
            <w:r>
              <w:t>Trimestral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Métricas de fairness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Métrica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Definição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Limiar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Valor atual</w:t>
            </w:r>
          </w:p>
        </w:tc>
      </w:tr>
      <w:tr>
        <w:tc>
          <w:tcPr>
            <w:tcW w:type="dxa" w:w="2351"/>
          </w:tcPr>
          <w:p>
            <w:r>
              <w:t>Demographic Parity Difference</w:t>
            </w:r>
          </w:p>
        </w:tc>
        <w:tc>
          <w:tcPr>
            <w:tcW w:type="dxa" w:w="2351"/>
          </w:tcPr>
          <w:p>
            <w:r>
              <w:t>|P(Y=1|A=a) - P(Y=1|A=b)|</w:t>
            </w:r>
          </w:p>
        </w:tc>
        <w:tc>
          <w:tcPr>
            <w:tcW w:type="dxa" w:w="2351"/>
          </w:tcPr>
          <w:p>
            <w:r>
              <w:t>≤ 0.10</w:t>
            </w:r>
          </w:p>
        </w:tc>
        <w:tc>
          <w:tcPr>
            <w:tcW w:type="dxa" w:w="2351"/>
          </w:tcPr>
          <w:p>
            <w:r>
              <w:t>MedTriage (ago/jove): 0.04 ✓</w:t>
            </w:r>
          </w:p>
        </w:tc>
      </w:tr>
      <w:tr>
        <w:tc>
          <w:tcPr>
            <w:tcW w:type="dxa" w:w="2351"/>
          </w:tcPr>
          <w:p>
            <w:r>
              <w:t>Equal Opportunity Difference (EOD)</w:t>
            </w:r>
          </w:p>
        </w:tc>
        <w:tc>
          <w:tcPr>
            <w:tcW w:type="dxa" w:w="2351"/>
          </w:tcPr>
          <w:p>
            <w:r>
              <w:t>|TPR_a - TPR_b|</w:t>
            </w:r>
          </w:p>
        </w:tc>
        <w:tc>
          <w:tcPr>
            <w:tcW w:type="dxa" w:w="2351"/>
          </w:tcPr>
          <w:p>
            <w:r>
              <w:t>≤ 0.05</w:t>
            </w:r>
          </w:p>
        </w:tc>
        <w:tc>
          <w:tcPr>
            <w:tcW w:type="dxa" w:w="2351"/>
          </w:tcPr>
          <w:p>
            <w:r>
              <w:t>MedTriage (gênero): 0.02 ✓</w:t>
            </w:r>
          </w:p>
        </w:tc>
      </w:tr>
      <w:tr>
        <w:tc>
          <w:tcPr>
            <w:tcW w:type="dxa" w:w="2351"/>
          </w:tcPr>
          <w:p>
            <w:r>
              <w:t>Disparate Impact (DI)</w:t>
            </w:r>
          </w:p>
        </w:tc>
        <w:tc>
          <w:tcPr>
            <w:tcW w:type="dxa" w:w="2351"/>
          </w:tcPr>
          <w:p>
            <w:r>
              <w:t>P(Y=1|A=a) / P(Y=1|A=b)</w:t>
            </w:r>
          </w:p>
        </w:tc>
        <w:tc>
          <w:tcPr>
            <w:tcW w:type="dxa" w:w="2351"/>
          </w:tcPr>
          <w:p>
            <w:r>
              <w:t>0.80 ≤ DI ≤ 1.25</w:t>
            </w:r>
          </w:p>
        </w:tc>
        <w:tc>
          <w:tcPr>
            <w:tcW w:type="dxa" w:w="2351"/>
          </w:tcPr>
          <w:p>
            <w:r>
              <w:t>HR-Match (gênero): 1.04 ✓</w:t>
            </w:r>
          </w:p>
        </w:tc>
      </w:tr>
      <w:tr>
        <w:tc>
          <w:tcPr>
            <w:tcW w:type="dxa" w:w="2351"/>
          </w:tcPr>
          <w:p>
            <w:r>
              <w:t>Average Odds Difference</w:t>
            </w:r>
          </w:p>
        </w:tc>
        <w:tc>
          <w:tcPr>
            <w:tcW w:type="dxa" w:w="2351"/>
          </w:tcPr>
          <w:p>
            <w:r>
              <w:t>média(|TPR_a-TPR_b|, |FPR_a-FPR_b|)</w:t>
            </w:r>
          </w:p>
        </w:tc>
        <w:tc>
          <w:tcPr>
            <w:tcW w:type="dxa" w:w="2351"/>
          </w:tcPr>
          <w:p>
            <w:r>
              <w:t>≤ 0.05</w:t>
            </w:r>
          </w:p>
        </w:tc>
        <w:tc>
          <w:tcPr>
            <w:tcW w:type="dxa" w:w="2351"/>
          </w:tcPr>
          <w:p>
            <w:r>
              <w:t>HR-Match: 0.03 ✓</w:t>
            </w:r>
          </w:p>
        </w:tc>
      </w:tr>
      <w:tr>
        <w:tc>
          <w:tcPr>
            <w:tcW w:type="dxa" w:w="2351"/>
          </w:tcPr>
          <w:p>
            <w:r>
              <w:t>Calibration</w:t>
            </w:r>
          </w:p>
        </w:tc>
        <w:tc>
          <w:tcPr>
            <w:tcW w:type="dxa" w:w="2351"/>
          </w:tcPr>
          <w:p>
            <w:r>
              <w:t>P(Y=1|score=s, A=a) ≈ s</w:t>
            </w:r>
          </w:p>
        </w:tc>
        <w:tc>
          <w:tcPr>
            <w:tcW w:type="dxa" w:w="2351"/>
          </w:tcPr>
          <w:p>
            <w:r>
              <w:t>Bem calibrado por subgrupo</w:t>
            </w:r>
          </w:p>
        </w:tc>
        <w:tc>
          <w:tcPr>
            <w:tcW w:type="dxa" w:w="2351"/>
          </w:tcPr>
          <w:p>
            <w:r>
              <w:t>MedTriage: ✓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Pipeline de auditoria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Atividade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Output</w:t>
            </w:r>
          </w:p>
        </w:tc>
      </w:tr>
      <w:tr>
        <w:tc>
          <w:tcPr>
            <w:tcW w:type="dxa" w:w="3135"/>
          </w:tcPr>
          <w:p>
            <w:r>
              <w:t>Recolha</w:t>
            </w:r>
          </w:p>
        </w:tc>
        <w:tc>
          <w:tcPr>
            <w:tcW w:type="dxa" w:w="3135"/>
          </w:tcPr>
          <w:p>
            <w:r>
              <w:t>Logs últimos 30 dias (Art. 12)</w:t>
            </w:r>
          </w:p>
        </w:tc>
        <w:tc>
          <w:tcPr>
            <w:tcW w:type="dxa" w:w="3135"/>
          </w:tcPr>
          <w:p>
            <w:r>
              <w:t>Auto via DAG Airflow</w:t>
            </w:r>
          </w:p>
        </w:tc>
      </w:tr>
      <w:tr>
        <w:tc>
          <w:tcPr>
            <w:tcW w:type="dxa" w:w="3135"/>
          </w:tcPr>
          <w:p>
            <w:r>
              <w:t>Análise</w:t>
            </w:r>
          </w:p>
        </w:tc>
        <w:tc>
          <w:tcPr>
            <w:tcW w:type="dxa" w:w="3135"/>
          </w:tcPr>
          <w:p>
            <w:r>
              <w:t>Aequitas + Fairlearn + custom scripts</w:t>
            </w:r>
          </w:p>
        </w:tc>
        <w:tc>
          <w:tcPr>
            <w:tcW w:type="dxa" w:w="3135"/>
          </w:tcPr>
          <w:p>
            <w:r>
              <w:t>Notebook Jupyter reproducível</w:t>
            </w:r>
          </w:p>
        </w:tc>
      </w:tr>
      <w:tr>
        <w:tc>
          <w:tcPr>
            <w:tcW w:type="dxa" w:w="3135"/>
          </w:tcPr>
          <w:p>
            <w:r>
              <w:t>Reporte</w:t>
            </w:r>
          </w:p>
        </w:tc>
        <w:tc>
          <w:tcPr>
            <w:tcW w:type="dxa" w:w="3135"/>
          </w:tcPr>
          <w:p>
            <w:r>
              <w:t>Dashboard Grafana + relatório mensal</w:t>
            </w:r>
          </w:p>
        </w:tc>
        <w:tc>
          <w:tcPr>
            <w:tcW w:type="dxa" w:w="3135"/>
          </w:tcPr>
          <w:p>
            <w:r>
              <w:t>AI Officer + DPO</w:t>
            </w:r>
          </w:p>
        </w:tc>
      </w:tr>
      <w:tr>
        <w:tc>
          <w:tcPr>
            <w:tcW w:type="dxa" w:w="3135"/>
          </w:tcPr>
          <w:p>
            <w:r>
              <w:t>Decisão</w:t>
            </w:r>
          </w:p>
        </w:tc>
        <w:tc>
          <w:tcPr>
            <w:tcW w:type="dxa" w:w="3135"/>
          </w:tcPr>
          <w:p>
            <w:r>
              <w:t>Comité IA mensal</w:t>
            </w:r>
          </w:p>
        </w:tc>
        <w:tc>
          <w:tcPr>
            <w:tcW w:type="dxa" w:w="3135"/>
          </w:tcPr>
          <w:p>
            <w:r>
              <w:t>Aprovar/exigir mitigação</w:t>
            </w:r>
          </w:p>
        </w:tc>
      </w:tr>
      <w:tr>
        <w:tc>
          <w:tcPr>
            <w:tcW w:type="dxa" w:w="3135"/>
          </w:tcPr>
          <w:p>
            <w:r>
              <w:t>Mitigação</w:t>
            </w:r>
          </w:p>
        </w:tc>
        <w:tc>
          <w:tcPr>
            <w:tcW w:type="dxa" w:w="3135"/>
          </w:tcPr>
          <w:p>
            <w:r>
              <w:t>Reweighing, threshold ajuste, retreino</w:t>
            </w:r>
          </w:p>
        </w:tc>
        <w:tc>
          <w:tcPr>
            <w:tcW w:type="dxa" w:w="3135"/>
          </w:tcPr>
          <w:p>
            <w:r>
              <w:t>Quando &gt;limiar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Resposta a viés detetado</w:t>
      </w:r>
    </w:p>
    <w:p>
      <w:pPr>
        <w:pStyle w:val="ListBullet"/>
        <w:ind w:left="283"/>
      </w:pPr>
      <w:r>
        <w:rPr>
          <w:sz w:val="21"/>
        </w:rPr>
        <w:t>☑  Notificação imediata ao Comité IA</w:t>
      </w:r>
    </w:p>
    <w:p>
      <w:pPr>
        <w:pStyle w:val="ListBullet"/>
        <w:ind w:left="283"/>
      </w:pPr>
      <w:r>
        <w:rPr>
          <w:sz w:val="21"/>
        </w:rPr>
        <w:t>☑  Investigação root cause em &lt;72h</w:t>
      </w:r>
    </w:p>
    <w:p>
      <w:pPr>
        <w:pStyle w:val="ListBullet"/>
        <w:ind w:left="283"/>
      </w:pPr>
      <w:r>
        <w:rPr>
          <w:sz w:val="21"/>
        </w:rPr>
        <w:t>☑  Plano de remediação aprovado em &lt;7 dias</w:t>
      </w:r>
    </w:p>
    <w:p>
      <w:pPr>
        <w:pStyle w:val="ListBullet"/>
        <w:ind w:left="283"/>
      </w:pPr>
      <w:r>
        <w:rPr>
          <w:sz w:val="21"/>
        </w:rPr>
        <w:t>☑  Implementação + verificação em ciclo seguinte</w:t>
      </w:r>
    </w:p>
    <w:p>
      <w:pPr>
        <w:pStyle w:val="ListBullet"/>
        <w:ind w:left="283"/>
      </w:pPr>
      <w:r>
        <w:rPr>
          <w:sz w:val="21"/>
        </w:rPr>
        <w:t>☑  Notificação Art. 73 se viés afetar direitos fundamentais materialmente</w:t>
      </w:r>
    </w:p>
    <w:p>
      <w:pPr>
        <w:pStyle w:val="ListBullet"/>
        <w:ind w:left="283"/>
      </w:pPr>
      <w:r>
        <w:rPr>
          <w:sz w:val="21"/>
        </w:rPr>
        <w:t>☑  Comunicação a pessoas afetadas (Art. 26(11)) se aplicável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