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Comunicação de Crise - Incidente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PLAY-CRISE-001 v1.0 - Comunicação interna e externa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Boa prática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Comunicação de Crise - Incidente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 testado no incidente real INC-2026-001.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pPr>
        <w:pStyle w:val="ListBullet"/>
        <w:ind w:left="283"/>
      </w:pPr>
      <w:r>
        <w:rPr>
          <w:sz w:val="21"/>
        </w:rPr>
        <w:t>☑  Transparência - não esconder factos materiais</w:t>
      </w:r>
    </w:p>
    <w:p>
      <w:pPr>
        <w:pStyle w:val="ListBullet"/>
        <w:ind w:left="283"/>
      </w:pPr>
      <w:r>
        <w:rPr>
          <w:sz w:val="21"/>
        </w:rPr>
        <w:t>☑  Empatia - reconhecer impacto nas pessoas afetadas</w:t>
      </w:r>
    </w:p>
    <w:p>
      <w:pPr>
        <w:pStyle w:val="ListBullet"/>
        <w:ind w:left="283"/>
      </w:pPr>
      <w:r>
        <w:rPr>
          <w:sz w:val="21"/>
        </w:rPr>
        <w:t>☑  Rapidez - comunicação inicial em &lt;2h</w:t>
      </w:r>
    </w:p>
    <w:p>
      <w:pPr>
        <w:pStyle w:val="ListBullet"/>
        <w:ind w:left="283"/>
      </w:pPr>
      <w:r>
        <w:rPr>
          <w:sz w:val="21"/>
        </w:rPr>
        <w:t>☑  Coerência - uma só voz oficial (CEO ou porta-voz designado)</w:t>
      </w:r>
    </w:p>
    <w:p>
      <w:pPr>
        <w:pStyle w:val="ListBullet"/>
        <w:ind w:left="283"/>
      </w:pPr>
      <w:r>
        <w:rPr>
          <w:sz w:val="21"/>
        </w:rPr>
        <w:t>☑  Atualização contínua - minimizar especulação</w:t>
      </w:r>
    </w:p>
    <w:p>
      <w:pPr>
        <w:pStyle w:val="Heading2"/>
      </w:pPr>
      <w:r>
        <w:rPr>
          <w:rFonts w:ascii="Calibri" w:hAnsi="Calibri"/>
          <w:color w:val="0F172A"/>
        </w:rPr>
        <w:t>2. Stakeholders e canais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Stakeholder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Canal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Tom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Prazo</w:t>
            </w:r>
          </w:p>
        </w:tc>
      </w:tr>
      <w:tr>
        <w:tc>
          <w:tcPr>
            <w:tcW w:type="dxa" w:w="2351"/>
          </w:tcPr>
          <w:p>
            <w:r>
              <w:t>Pessoas afetadas</w:t>
            </w:r>
          </w:p>
        </w:tc>
        <w:tc>
          <w:tcPr>
            <w:tcW w:type="dxa" w:w="2351"/>
          </w:tcPr>
          <w:p>
            <w:r>
              <w:t>Carta + email + linha telefónica gratuita</w:t>
            </w:r>
          </w:p>
        </w:tc>
        <w:tc>
          <w:tcPr>
            <w:tcW w:type="dxa" w:w="2351"/>
          </w:tcPr>
          <w:p>
            <w:r>
              <w:t>Empático, claro, prático</w:t>
            </w:r>
          </w:p>
        </w:tc>
        <w:tc>
          <w:tcPr>
            <w:tcW w:type="dxa" w:w="2351"/>
          </w:tcPr>
          <w:p>
            <w:r>
              <w:t>&lt;24h</w:t>
            </w:r>
          </w:p>
        </w:tc>
      </w:tr>
      <w:tr>
        <w:tc>
          <w:tcPr>
            <w:tcW w:type="dxa" w:w="2351"/>
          </w:tcPr>
          <w:p>
            <w:r>
              <w:t>Autoridades (ANACOM, CNCS, CNPD)</w:t>
            </w:r>
          </w:p>
        </w:tc>
        <w:tc>
          <w:tcPr>
            <w:tcW w:type="dxa" w:w="2351"/>
          </w:tcPr>
          <w:p>
            <w:r>
              <w:t>Notificação formal Art. 73</w:t>
            </w:r>
          </w:p>
        </w:tc>
        <w:tc>
          <w:tcPr>
            <w:tcW w:type="dxa" w:w="2351"/>
          </w:tcPr>
          <w:p>
            <w:r>
              <w:t>Factual, completo</w:t>
            </w:r>
          </w:p>
        </w:tc>
        <w:tc>
          <w:tcPr>
            <w:tcW w:type="dxa" w:w="2351"/>
          </w:tcPr>
          <w:p>
            <w:r>
              <w:t>Conforme prazos</w:t>
            </w:r>
          </w:p>
        </w:tc>
      </w:tr>
      <w:tr>
        <w:tc>
          <w:tcPr>
            <w:tcW w:type="dxa" w:w="2351"/>
          </w:tcPr>
          <w:p>
            <w:r>
              <w:t>Imprensa</w:t>
            </w:r>
          </w:p>
        </w:tc>
        <w:tc>
          <w:tcPr>
            <w:tcW w:type="dxa" w:w="2351"/>
          </w:tcPr>
          <w:p>
            <w:r>
              <w:t>Comunicado + porta-voz</w:t>
            </w:r>
          </w:p>
        </w:tc>
        <w:tc>
          <w:tcPr>
            <w:tcW w:type="dxa" w:w="2351"/>
          </w:tcPr>
          <w:p>
            <w:r>
              <w:t>Factual, sem especulação</w:t>
            </w:r>
          </w:p>
        </w:tc>
        <w:tc>
          <w:tcPr>
            <w:tcW w:type="dxa" w:w="2351"/>
          </w:tcPr>
          <w:p>
            <w:r>
              <w:t>Após notificação autoridades</w:t>
            </w:r>
          </w:p>
        </w:tc>
      </w:tr>
      <w:tr>
        <w:tc>
          <w:tcPr>
            <w:tcW w:type="dxa" w:w="2351"/>
          </w:tcPr>
          <w:p>
            <w:r>
              <w:t>Colaboradores</w:t>
            </w:r>
          </w:p>
        </w:tc>
        <w:tc>
          <w:tcPr>
            <w:tcW w:type="dxa" w:w="2351"/>
          </w:tcPr>
          <w:p>
            <w:r>
              <w:t>Email interno + reunião informativa</w:t>
            </w:r>
          </w:p>
        </w:tc>
        <w:tc>
          <w:tcPr>
            <w:tcW w:type="dxa" w:w="2351"/>
          </w:tcPr>
          <w:p>
            <w:r>
              <w:t>Transparente, direção</w:t>
            </w:r>
          </w:p>
        </w:tc>
        <w:tc>
          <w:tcPr>
            <w:tcW w:type="dxa" w:w="2351"/>
          </w:tcPr>
          <w:p>
            <w:r>
              <w:t>&lt;6h</w:t>
            </w:r>
          </w:p>
        </w:tc>
      </w:tr>
      <w:tr>
        <w:tc>
          <w:tcPr>
            <w:tcW w:type="dxa" w:w="2351"/>
          </w:tcPr>
          <w:p>
            <w:r>
              <w:t>Clientes B2B (hospitais)</w:t>
            </w:r>
          </w:p>
        </w:tc>
        <w:tc>
          <w:tcPr>
            <w:tcW w:type="dxa" w:w="2351"/>
          </w:tcPr>
          <w:p>
            <w:r>
              <w:t>Reunião + relatório</w:t>
            </w:r>
          </w:p>
        </w:tc>
        <w:tc>
          <w:tcPr>
            <w:tcW w:type="dxa" w:w="2351"/>
          </w:tcPr>
          <w:p>
            <w:r>
              <w:t>Detalhe técnico, plano</w:t>
            </w:r>
          </w:p>
        </w:tc>
        <w:tc>
          <w:tcPr>
            <w:tcW w:type="dxa" w:w="2351"/>
          </w:tcPr>
          <w:p>
            <w:r>
              <w:t>&lt;24h</w:t>
            </w:r>
          </w:p>
        </w:tc>
      </w:tr>
      <w:tr>
        <w:tc>
          <w:tcPr>
            <w:tcW w:type="dxa" w:w="2351"/>
          </w:tcPr>
          <w:p>
            <w:r>
              <w:t>Parceiros (TalentAI Pro, etc.)</w:t>
            </w:r>
          </w:p>
        </w:tc>
        <w:tc>
          <w:tcPr>
            <w:tcW w:type="dxa" w:w="2351"/>
          </w:tcPr>
          <w:p>
            <w:r>
              <w:t>Email direto + reunião</w:t>
            </w:r>
          </w:p>
        </w:tc>
        <w:tc>
          <w:tcPr>
            <w:tcW w:type="dxa" w:w="2351"/>
          </w:tcPr>
          <w:p>
            <w:r>
              <w:t>Coordenação resposta</w:t>
            </w:r>
          </w:p>
        </w:tc>
        <w:tc>
          <w:tcPr>
            <w:tcW w:type="dxa" w:w="2351"/>
          </w:tcPr>
          <w:p>
            <w:r>
              <w:t>&lt;12h</w:t>
            </w:r>
          </w:p>
        </w:tc>
      </w:tr>
      <w:tr>
        <w:tc>
          <w:tcPr>
            <w:tcW w:type="dxa" w:w="2351"/>
          </w:tcPr>
          <w:p>
            <w:r>
              <w:t>Investidores</w:t>
            </w:r>
          </w:p>
        </w:tc>
        <w:tc>
          <w:tcPr>
            <w:tcW w:type="dxa" w:w="2351"/>
          </w:tcPr>
          <w:p>
            <w:r>
              <w:t>Briefing dedicado</w:t>
            </w:r>
          </w:p>
        </w:tc>
        <w:tc>
          <w:tcPr>
            <w:tcW w:type="dxa" w:w="2351"/>
          </w:tcPr>
          <w:p>
            <w:r>
              <w:t>Materialidade financeira</w:t>
            </w:r>
          </w:p>
        </w:tc>
        <w:tc>
          <w:tcPr>
            <w:tcW w:type="dxa" w:w="2351"/>
          </w:tcPr>
          <w:p>
            <w:r>
              <w:t>&lt;48h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Modelo de comunicado de imprensa (template)</w:t>
      </w:r>
    </w:p>
    <w:p>
      <w:r>
        <w:rPr>
          <w:sz w:val="22"/>
        </w:rPr>
        <w:t>─────────────────────────────────────────────────</w:t>
      </w:r>
    </w:p>
    <w:p>
      <w:r>
        <w:rPr>
          <w:sz w:val="22"/>
        </w:rPr>
        <w:t>Lisboa, [data]. A TechMed Solutions, S.A. comunica a deteção de uma anomalia no funcionamento do seu sistema [nome] no dia [data]. A anomalia [descrição factual breve], tendo sido detetada pelo nosso sistema interno de monitorização e contida em [tempo].</w:t>
      </w:r>
    </w:p>
    <w:p>
      <w:r>
        <w:rPr>
          <w:sz w:val="22"/>
        </w:rPr>
      </w:r>
    </w:p>
    <w:p>
      <w:r>
        <w:rPr>
          <w:sz w:val="22"/>
        </w:rPr>
        <w:t>A TechMed lamenta o sucedido e está em comunicação direta com [autoridade competente] e com [pessoas/clientes afetados].</w:t>
      </w:r>
    </w:p>
    <w:p>
      <w:r>
        <w:rPr>
          <w:sz w:val="22"/>
        </w:rPr>
      </w:r>
    </w:p>
    <w:p>
      <w:r>
        <w:rPr>
          <w:sz w:val="22"/>
        </w:rPr>
        <w:t>"A nossa prioridade é a segurança e os direitos das pessoas que usam os nossos sistemas. Estamos a tomar todas as medidas corretivas e estruturais para que situações semelhantes não se repitam." - [CEO]</w:t>
      </w:r>
    </w:p>
    <w:p>
      <w:r>
        <w:rPr>
          <w:sz w:val="22"/>
        </w:rPr>
      </w:r>
    </w:p>
    <w:p>
      <w:r>
        <w:rPr>
          <w:sz w:val="22"/>
        </w:rPr>
        <w:t>A TechMed publicará atualizações em [canal] e convoca conferência de imprensa em [data].</w:t>
      </w:r>
    </w:p>
    <w:p>
      <w:r>
        <w:rPr>
          <w:sz w:val="22"/>
        </w:rPr>
        <w:t>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rFonts w:ascii="Calibri" w:hAnsi="Calibri"/>
          <w:color w:val="0F172A"/>
        </w:rPr>
        <w:t>4. NÃO fazer</w:t>
      </w:r>
    </w:p>
    <w:p>
      <w:pPr>
        <w:pStyle w:val="ListBullet"/>
        <w:ind w:left="283"/>
      </w:pPr>
      <w:r>
        <w:rPr>
          <w:sz w:val="21"/>
        </w:rPr>
        <w:t>☑  Especular sobre causa antes de investigação concluída</w:t>
      </w:r>
    </w:p>
    <w:p>
      <w:pPr>
        <w:pStyle w:val="ListBullet"/>
        <w:ind w:left="283"/>
      </w:pPr>
      <w:r>
        <w:rPr>
          <w:sz w:val="21"/>
        </w:rPr>
        <w:t>☑  Minimizar o impacto se houver vítimas</w:t>
      </w:r>
    </w:p>
    <w:p>
      <w:pPr>
        <w:pStyle w:val="ListBullet"/>
        <w:ind w:left="283"/>
      </w:pPr>
      <w:r>
        <w:rPr>
          <w:sz w:val="21"/>
        </w:rPr>
        <w:t>☑  Atribuir culpa publicamente a terceiros sem evidência</w:t>
      </w:r>
    </w:p>
    <w:p>
      <w:pPr>
        <w:pStyle w:val="ListBullet"/>
        <w:ind w:left="283"/>
      </w:pPr>
      <w:r>
        <w:rPr>
          <w:sz w:val="21"/>
        </w:rPr>
        <w:t>☑  Comprometer-se com prazos não exequíveis</w:t>
      </w:r>
    </w:p>
    <w:p>
      <w:pPr>
        <w:pStyle w:val="ListBullet"/>
        <w:ind w:left="283"/>
      </w:pPr>
      <w:r>
        <w:rPr>
          <w:sz w:val="21"/>
        </w:rPr>
        <w:t>☑  Não comunicar até "ter certeza absoluta" - gera vácuo informativo</w:t>
      </w:r>
    </w:p>
    <w:p>
      <w:pPr>
        <w:pStyle w:val="Heading2"/>
      </w:pPr>
      <w:r>
        <w:rPr>
          <w:rFonts w:ascii="Calibri" w:hAnsi="Calibri"/>
          <w:color w:val="0F172A"/>
        </w:rPr>
        <w:t>5. Pós-crise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Lições aprendidas</w:t>
            </w:r>
          </w:p>
        </w:tc>
        <w:tc>
          <w:tcPr>
            <w:tcW w:type="dxa" w:w="6236"/>
          </w:tcPr>
          <w:p>
            <w:r>
              <w:t>Workshop em &lt;2 semanas pós-resolução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Atualização Plano</w:t>
            </w:r>
          </w:p>
        </w:tc>
        <w:tc>
          <w:tcPr>
            <w:tcW w:type="dxa" w:w="6236"/>
          </w:tcPr>
          <w:p>
            <w:r>
              <w:t>POL-CRISE-001 atualizada conforme aprendizagem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Drill</w:t>
            </w:r>
          </w:p>
        </w:tc>
        <w:tc>
          <w:tcPr>
            <w:tcW w:type="dxa" w:w="6236"/>
          </w:tcPr>
          <w:p>
            <w:r>
              <w:t>Simulação seguinte focada em cenário similar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