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Plano de Comunicação a Trabalhadores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Conforme Art. 26(7) - informação prévia à colocação em serviço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26(7)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Plano de Comunicação a Trabalhadores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Plano efetivamente usado para o HR-Match (decisão de colocação em serviço 2026-01-10).</w:t>
      </w:r>
    </w:p>
    <w:p>
      <w:pPr>
        <w:pStyle w:val="Heading2"/>
      </w:pPr>
      <w:r>
        <w:rPr>
          <w:rFonts w:ascii="Calibri" w:hAnsi="Calibri"/>
          <w:color w:val="0F172A"/>
        </w:rPr>
        <w:t>1. Sistemas abrangidos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Sistema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Categoria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Contexto laboral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Trabalhadores informados</w:t>
            </w:r>
          </w:p>
        </w:tc>
      </w:tr>
      <w:tr>
        <w:tc>
          <w:tcPr>
            <w:tcW w:type="dxa" w:w="2351"/>
          </w:tcPr>
          <w:p>
            <w:r>
              <w:t>HR-Match</w:t>
            </w:r>
          </w:p>
        </w:tc>
        <w:tc>
          <w:tcPr>
            <w:tcW w:type="dxa" w:w="2351"/>
          </w:tcPr>
          <w:p>
            <w:r>
              <w:t>Alto risco (Anexo III ponto 4(a) - emprego e gestão de trabalhadores)</w:t>
            </w:r>
          </w:p>
        </w:tc>
        <w:tc>
          <w:tcPr>
            <w:tcW w:type="dxa" w:w="2351"/>
          </w:tcPr>
          <w:p>
            <w:r>
              <w:t>Recrutamento e mobilidade interna</w:t>
            </w:r>
          </w:p>
        </w:tc>
        <w:tc>
          <w:tcPr>
            <w:tcW w:type="dxa" w:w="2351"/>
          </w:tcPr>
          <w:p>
            <w:r>
              <w:t>Sim - informado 2025-Q4</w:t>
            </w:r>
          </w:p>
        </w:tc>
      </w:tr>
      <w:tr>
        <w:tc>
          <w:tcPr>
            <w:tcW w:type="dxa" w:w="2351"/>
          </w:tcPr>
          <w:p>
            <w:r>
              <w:t>MedTriage AI</w:t>
            </w:r>
          </w:p>
        </w:tc>
        <w:tc>
          <w:tcPr>
            <w:tcW w:type="dxa" w:w="2351"/>
          </w:tcPr>
          <w:p>
            <w:r>
              <w:t>Alto risco (Anexo III ponto 5(b) - serviços essenciais de saúde)</w:t>
            </w:r>
          </w:p>
        </w:tc>
        <w:tc>
          <w:tcPr>
            <w:tcW w:type="dxa" w:w="2351"/>
          </w:tcPr>
          <w:p>
            <w:r>
              <w:t>Triagem clínica em hospitais parceiros</w:t>
            </w:r>
          </w:p>
        </w:tc>
        <w:tc>
          <w:tcPr>
            <w:tcW w:type="dxa" w:w="2351"/>
          </w:tcPr>
          <w:p>
            <w:r>
              <w:t>Sim - através de parceiros</w:t>
            </w:r>
          </w:p>
        </w:tc>
      </w:tr>
      <w:tr>
        <w:tc>
          <w:tcPr>
            <w:tcW w:type="dxa" w:w="2351"/>
          </w:tcPr>
          <w:p>
            <w:r>
              <w:t>CodeAssist GPAI</w:t>
            </w:r>
          </w:p>
        </w:tc>
        <w:tc>
          <w:tcPr>
            <w:tcW w:type="dxa" w:w="2351"/>
          </w:tcPr>
          <w:p>
            <w:r>
              <w:t>Risco limitado (Art. 50 - chatbot/assistente) + GPAI (downstream do LLaMA)</w:t>
            </w:r>
          </w:p>
        </w:tc>
        <w:tc>
          <w:tcPr>
            <w:tcW w:type="dxa" w:w="2351"/>
          </w:tcPr>
          <w:p>
            <w:r>
              <w:t>Suporte ao desenvolvimento - uso voluntário</w:t>
            </w:r>
          </w:p>
        </w:tc>
        <w:tc>
          <w:tcPr>
            <w:tcW w:type="dxa" w:w="2351"/>
          </w:tcPr>
          <w:p>
            <w:r>
              <w:t>Sim - 2025-Q4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Conteúdo da comunicação obrigatória (Art. 26(7))</w:t>
      </w:r>
    </w:p>
    <w:p>
      <w:pPr>
        <w:pStyle w:val="ListBullet"/>
        <w:ind w:left="283"/>
      </w:pPr>
      <w:r>
        <w:rPr>
          <w:sz w:val="21"/>
        </w:rPr>
        <w:t>☑  Identificação do sistema IA (nome, fornecedor, versão)</w:t>
      </w:r>
    </w:p>
    <w:p>
      <w:pPr>
        <w:pStyle w:val="ListBullet"/>
        <w:ind w:left="283"/>
      </w:pPr>
      <w:r>
        <w:rPr>
          <w:sz w:val="21"/>
        </w:rPr>
        <w:t>☑  Finalidade pretendida e contexto de utilização</w:t>
      </w:r>
    </w:p>
    <w:p>
      <w:pPr>
        <w:pStyle w:val="ListBullet"/>
        <w:ind w:left="283"/>
      </w:pPr>
      <w:r>
        <w:rPr>
          <w:sz w:val="21"/>
        </w:rPr>
        <w:t>☑  Categorias de trabalhadores a quem se aplica</w:t>
      </w:r>
    </w:p>
    <w:p>
      <w:pPr>
        <w:pStyle w:val="ListBullet"/>
        <w:ind w:left="283"/>
      </w:pPr>
      <w:r>
        <w:rPr>
          <w:sz w:val="21"/>
        </w:rPr>
        <w:t>☑  Tipo de decisões em que o sistema influencia</w:t>
      </w:r>
    </w:p>
    <w:p>
      <w:pPr>
        <w:pStyle w:val="ListBullet"/>
        <w:ind w:left="283"/>
      </w:pPr>
      <w:r>
        <w:rPr>
          <w:sz w:val="21"/>
        </w:rPr>
        <w:t>☑  Direitos dos trabalhadores (informação, queixa, supervisão humana)</w:t>
      </w:r>
    </w:p>
    <w:p>
      <w:pPr>
        <w:pStyle w:val="ListBullet"/>
        <w:ind w:left="283"/>
      </w:pPr>
      <w:r>
        <w:rPr>
          <w:sz w:val="21"/>
        </w:rPr>
        <w:t>☑  Pessoa de contacto na organização (AI Officer + RH)</w:t>
      </w:r>
    </w:p>
    <w:p>
      <w:pPr>
        <w:pStyle w:val="ListBullet"/>
        <w:ind w:left="283"/>
      </w:pPr>
      <w:r>
        <w:rPr>
          <w:sz w:val="21"/>
        </w:rPr>
        <w:t>☑  Canal para apresentar dúvidas/reclamações</w:t>
      </w:r>
    </w:p>
    <w:p>
      <w:pPr>
        <w:pStyle w:val="Heading2"/>
      </w:pPr>
      <w:r>
        <w:rPr>
          <w:rFonts w:ascii="Calibri" w:hAnsi="Calibri"/>
          <w:color w:val="0F172A"/>
        </w:rPr>
        <w:t>3. Destinatários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Destinatário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Forma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Volume / detalhe</w:t>
            </w:r>
          </w:p>
        </w:tc>
      </w:tr>
      <w:tr>
        <w:tc>
          <w:tcPr>
            <w:tcW w:type="dxa" w:w="3135"/>
          </w:tcPr>
          <w:p>
            <w:r>
              <w:t>Comissão de Trabalhadores</w:t>
            </w:r>
          </w:p>
        </w:tc>
        <w:tc>
          <w:tcPr>
            <w:tcW w:type="dxa" w:w="3135"/>
          </w:tcPr>
          <w:p>
            <w:r>
              <w:t>Reunião formal 2025-11-15</w:t>
            </w:r>
          </w:p>
        </w:tc>
        <w:tc>
          <w:tcPr>
            <w:tcW w:type="dxa" w:w="3135"/>
          </w:tcPr>
          <w:p>
            <w:r>
              <w:t>5 representantes</w:t>
            </w:r>
          </w:p>
        </w:tc>
      </w:tr>
      <w:tr>
        <w:tc>
          <w:tcPr>
            <w:tcW w:type="dxa" w:w="3135"/>
          </w:tcPr>
          <w:p>
            <w:r>
              <w:t>Sindicatos representativos</w:t>
            </w:r>
          </w:p>
        </w:tc>
        <w:tc>
          <w:tcPr>
            <w:tcW w:type="dxa" w:w="3135"/>
          </w:tcPr>
          <w:p>
            <w:r>
              <w:t>Carta + reunião 2025-11-20</w:t>
            </w:r>
          </w:p>
        </w:tc>
        <w:tc>
          <w:tcPr>
            <w:tcW w:type="dxa" w:w="3135"/>
          </w:tcPr>
          <w:p>
            <w:r>
              <w:t>SEP, SNS, ENF</w:t>
            </w:r>
          </w:p>
        </w:tc>
      </w:tr>
      <w:tr>
        <w:tc>
          <w:tcPr>
            <w:tcW w:type="dxa" w:w="3135"/>
          </w:tcPr>
          <w:p>
            <w:r>
              <w:t>Trabalhadores diretamente afetados (RH)</w:t>
            </w:r>
          </w:p>
        </w:tc>
        <w:tc>
          <w:tcPr>
            <w:tcW w:type="dxa" w:w="3135"/>
          </w:tcPr>
          <w:p>
            <w:r>
              <w:t>Email + reunião 2025-12-01</w:t>
            </w:r>
          </w:p>
        </w:tc>
        <w:tc>
          <w:tcPr>
            <w:tcW w:type="dxa" w:w="3135"/>
          </w:tcPr>
          <w:p>
            <w:r>
              <w:t>5 recruiters + 1 head HR</w:t>
            </w:r>
          </w:p>
        </w:tc>
      </w:tr>
      <w:tr>
        <w:tc>
          <w:tcPr>
            <w:tcW w:type="dxa" w:w="3135"/>
          </w:tcPr>
          <w:p>
            <w:r>
              <w:t>Restantes colaboradores</w:t>
            </w:r>
          </w:p>
        </w:tc>
        <w:tc>
          <w:tcPr>
            <w:tcW w:type="dxa" w:w="3135"/>
          </w:tcPr>
          <w:p>
            <w:r>
              <w:t>Comunicado interno 2025-12-15</w:t>
            </w:r>
          </w:p>
        </w:tc>
        <w:tc>
          <w:tcPr>
            <w:tcW w:type="dxa" w:w="3135"/>
          </w:tcPr>
          <w:p>
            <w:r>
              <w:t>244 colaboradores</w:t>
            </w:r>
          </w:p>
        </w:tc>
      </w:tr>
      <w:tr>
        <w:tc>
          <w:tcPr>
            <w:tcW w:type="dxa" w:w="3135"/>
          </w:tcPr>
          <w:p>
            <w:r>
              <w:t>Candidatos externos</w:t>
            </w:r>
          </w:p>
        </w:tc>
        <w:tc>
          <w:tcPr>
            <w:tcW w:type="dxa" w:w="3135"/>
          </w:tcPr>
          <w:p>
            <w:r>
              <w:t>Aviso no formulário online + email</w:t>
            </w:r>
          </w:p>
        </w:tc>
        <w:tc>
          <w:tcPr>
            <w:tcW w:type="dxa" w:w="3135"/>
          </w:tcPr>
          <w:p>
            <w:r>
              <w:t>Continuamente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Documento de informação (extrato)</w:t>
      </w:r>
    </w:p>
    <w:p>
      <w:r>
        <w:rPr>
          <w:sz w:val="22"/>
        </w:rPr>
        <w:t>"A TechMed Solutions, S.A. informa que, a partir de 10 de janeiro de 2026, utilizará o sistema HR-Match v1.0 (fornecido por TalentAI Pro, Lda.) para apoiar a triagem inicial de candidaturas para vagas internas e em centros clínicos parceiros. O sistema é classificado como IA de alto risco ao abrigo do Anexo III ponto 4(a) do AI Act. Todas as decisões finais são tomadas por humanos. Tem direito a (i) explicação, (ii) revisão por humano, (iii) reclamar - ver POL-REC-001."</w:t>
      </w:r>
    </w:p>
    <w:p>
      <w:pPr>
        <w:pStyle w:val="Heading2"/>
      </w:pPr>
      <w:r>
        <w:rPr>
          <w:rFonts w:ascii="Calibri" w:hAnsi="Calibri"/>
          <w:color w:val="0F172A"/>
        </w:rPr>
        <w:t>5. Atualização contínua</w:t>
      </w:r>
    </w:p>
    <w:p>
      <w:r>
        <w:rPr>
          <w:sz w:val="22"/>
        </w:rPr>
        <w:t>Em caso de alteração material do sistema (mudança de finalidade, escopo, decisões), nova informação é prestada com pelo menos 30 dias de antecedência.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