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Descomissionamento de Sistema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POL-DEC-001 v1.0 - Retirada do mercado / colocação fora de serviço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16 + 20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Descomissionamento de Sistema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Plano-tipo institucional. Inclui exemplo: descomissionamento planeado de antigo sistema legacy.</w:t>
      </w:r>
    </w:p>
    <w:p>
      <w:pPr>
        <w:pStyle w:val="Heading2"/>
      </w:pPr>
      <w:r>
        <w:rPr>
          <w:rFonts w:ascii="Calibri" w:hAnsi="Calibri"/>
          <w:color w:val="0F172A"/>
        </w:rPr>
        <w:t>1. Razões para descomissionamento</w:t>
      </w:r>
    </w:p>
    <w:p>
      <w:pPr>
        <w:pStyle w:val="ListBullet"/>
        <w:ind w:left="283"/>
      </w:pPr>
      <w:r>
        <w:rPr>
          <w:sz w:val="21"/>
        </w:rPr>
        <w:t>☐  Substituição por versão major</w:t>
      </w:r>
    </w:p>
    <w:p>
      <w:pPr>
        <w:pStyle w:val="ListBullet"/>
        <w:ind w:left="283"/>
      </w:pPr>
      <w:r>
        <w:rPr>
          <w:sz w:val="21"/>
        </w:rPr>
        <w:t>☐  Não-conformidade não corrigível</w:t>
      </w:r>
    </w:p>
    <w:p>
      <w:pPr>
        <w:pStyle w:val="ListBullet"/>
        <w:ind w:left="283"/>
      </w:pPr>
      <w:r>
        <w:rPr>
          <w:sz w:val="21"/>
        </w:rPr>
        <w:t>☐  Risco residual fora dos critérios aceitáveis</w:t>
      </w:r>
    </w:p>
    <w:p>
      <w:pPr>
        <w:pStyle w:val="ListBullet"/>
        <w:ind w:left="283"/>
      </w:pPr>
      <w:r>
        <w:rPr>
          <w:sz w:val="21"/>
        </w:rPr>
        <w:t>☐  Decisão estratégica</w:t>
      </w:r>
    </w:p>
    <w:p>
      <w:pPr>
        <w:pStyle w:val="ListBullet"/>
        <w:ind w:left="283"/>
      </w:pPr>
      <w:r>
        <w:rPr>
          <w:sz w:val="21"/>
        </w:rPr>
        <w:t>☐  Imposição da autoridade competente (Art. 79)</w:t>
      </w:r>
    </w:p>
    <w:p>
      <w:pPr>
        <w:pStyle w:val="ListBullet"/>
        <w:ind w:left="283"/>
      </w:pPr>
      <w:r>
        <w:rPr>
          <w:sz w:val="21"/>
        </w:rPr>
        <w:t>☐  Fim de contrato com fornecedor</w:t>
      </w:r>
    </w:p>
    <w:p>
      <w:pPr>
        <w:pStyle w:val="Heading2"/>
      </w:pPr>
      <w:r>
        <w:rPr>
          <w:rFonts w:ascii="Calibri" w:hAnsi="Calibri"/>
          <w:color w:val="0F172A"/>
        </w:rPr>
        <w:t>2. Etapas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Quando</w:t>
            </w:r>
          </w:p>
        </w:tc>
      </w:tr>
      <w:tr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Decisão Comité IA (acta formal)</w:t>
            </w:r>
          </w:p>
        </w:tc>
        <w:tc>
          <w:tcPr>
            <w:tcW w:type="dxa" w:w="3135"/>
          </w:tcPr>
          <w:p>
            <w:r>
              <w:t>Mín. 90 dias antes do fim de vida</w:t>
            </w:r>
          </w:p>
        </w:tc>
      </w:tr>
      <w:tr>
        <w:tc>
          <w:tcPr>
            <w:tcW w:type="dxa" w:w="3135"/>
          </w:tcPr>
          <w:p>
            <w:r>
              <w:t>2</w:t>
            </w:r>
          </w:p>
        </w:tc>
        <w:tc>
          <w:tcPr>
            <w:tcW w:type="dxa" w:w="3135"/>
          </w:tcPr>
          <w:p>
            <w:r>
              <w:t>Comunicação a stakeholders (utilizadores, clientes, autoridades)</w:t>
            </w:r>
          </w:p>
        </w:tc>
        <w:tc>
          <w:tcPr>
            <w:tcW w:type="dxa" w:w="3135"/>
          </w:tcPr>
          <w:p>
            <w:r>
              <w:t>60 dias antes</w:t>
            </w:r>
          </w:p>
        </w:tc>
      </w:tr>
      <w:tr>
        <w:tc>
          <w:tcPr>
            <w:tcW w:type="dxa" w:w="3135"/>
          </w:tcPr>
          <w:p>
            <w:r>
              <w:t>3</w:t>
            </w:r>
          </w:p>
        </w:tc>
        <w:tc>
          <w:tcPr>
            <w:tcW w:type="dxa" w:w="3135"/>
          </w:tcPr>
          <w:p>
            <w:r>
              <w:t>Comunicação a pessoas afetadas (Art. 26(11)) se mudança de processo</w:t>
            </w:r>
          </w:p>
        </w:tc>
        <w:tc>
          <w:tcPr>
            <w:tcW w:type="dxa" w:w="3135"/>
          </w:tcPr>
          <w:p>
            <w:r>
              <w:t>60 dias antes</w:t>
            </w:r>
          </w:p>
        </w:tc>
      </w:tr>
      <w:tr>
        <w:tc>
          <w:tcPr>
            <w:tcW w:type="dxa" w:w="3135"/>
          </w:tcPr>
          <w:p>
            <w:r>
              <w:t>4</w:t>
            </w:r>
          </w:p>
        </w:tc>
        <w:tc>
          <w:tcPr>
            <w:tcW w:type="dxa" w:w="3135"/>
          </w:tcPr>
          <w:p>
            <w:r>
              <w:t>Plano de migração para sistema alternativo</w:t>
            </w:r>
          </w:p>
        </w:tc>
        <w:tc>
          <w:tcPr>
            <w:tcW w:type="dxa" w:w="3135"/>
          </w:tcPr>
          <w:p>
            <w:r>
              <w:t>45 dias antes</w:t>
            </w:r>
          </w:p>
        </w:tc>
      </w:tr>
      <w:tr>
        <w:tc>
          <w:tcPr>
            <w:tcW w:type="dxa" w:w="3135"/>
          </w:tcPr>
          <w:p>
            <w:r>
              <w:t>5</w:t>
            </w:r>
          </w:p>
        </w:tc>
        <w:tc>
          <w:tcPr>
            <w:tcW w:type="dxa" w:w="3135"/>
          </w:tcPr>
          <w:p>
            <w:r>
              <w:t>Período de "freeze" - sem novas funcionalidades, manutenção apenas</w:t>
            </w:r>
          </w:p>
        </w:tc>
        <w:tc>
          <w:tcPr>
            <w:tcW w:type="dxa" w:w="3135"/>
          </w:tcPr>
          <w:p>
            <w:r>
              <w:t>30 dias antes</w:t>
            </w:r>
          </w:p>
        </w:tc>
      </w:tr>
      <w:tr>
        <w:tc>
          <w:tcPr>
            <w:tcW w:type="dxa" w:w="3135"/>
          </w:tcPr>
          <w:p>
            <w:r>
              <w:t>6</w:t>
            </w:r>
          </w:p>
        </w:tc>
        <w:tc>
          <w:tcPr>
            <w:tcW w:type="dxa" w:w="3135"/>
          </w:tcPr>
          <w:p>
            <w:r>
              <w:t>Última inferência + corte de tráfego</w:t>
            </w:r>
          </w:p>
        </w:tc>
        <w:tc>
          <w:tcPr>
            <w:tcW w:type="dxa" w:w="3135"/>
          </w:tcPr>
          <w:p>
            <w:r>
              <w:t>Data de fim de vida</w:t>
            </w:r>
          </w:p>
        </w:tc>
      </w:tr>
      <w:tr>
        <w:tc>
          <w:tcPr>
            <w:tcW w:type="dxa" w:w="3135"/>
          </w:tcPr>
          <w:p>
            <w:r>
              <w:t>7</w:t>
            </w:r>
          </w:p>
        </w:tc>
        <w:tc>
          <w:tcPr>
            <w:tcW w:type="dxa" w:w="3135"/>
          </w:tcPr>
          <w:p>
            <w:r>
              <w:t>Conservação de logs (Art. 12) por 10 anos</w:t>
            </w:r>
          </w:p>
        </w:tc>
        <w:tc>
          <w:tcPr>
            <w:tcW w:type="dxa" w:w="3135"/>
          </w:tcPr>
          <w:p>
            <w:r>
              <w:t>Imediato</w:t>
            </w:r>
          </w:p>
        </w:tc>
      </w:tr>
      <w:tr>
        <w:tc>
          <w:tcPr>
            <w:tcW w:type="dxa" w:w="3135"/>
          </w:tcPr>
          <w:p>
            <w:r>
              <w:t>8</w:t>
            </w:r>
          </w:p>
        </w:tc>
        <w:tc>
          <w:tcPr>
            <w:tcW w:type="dxa" w:w="3135"/>
          </w:tcPr>
          <w:p>
            <w:r>
              <w:t>Conservação de documentação técnica por 10 anos (Art. 11(2))</w:t>
            </w:r>
          </w:p>
        </w:tc>
        <w:tc>
          <w:tcPr>
            <w:tcW w:type="dxa" w:w="3135"/>
          </w:tcPr>
          <w:p>
            <w:r>
              <w:t>Imediato</w:t>
            </w:r>
          </w:p>
        </w:tc>
      </w:tr>
      <w:tr>
        <w:tc>
          <w:tcPr>
            <w:tcW w:type="dxa" w:w="3135"/>
          </w:tcPr>
          <w:p>
            <w:r>
              <w:t>9</w:t>
            </w:r>
          </w:p>
        </w:tc>
        <w:tc>
          <w:tcPr>
            <w:tcW w:type="dxa" w:w="3135"/>
          </w:tcPr>
          <w:p>
            <w:r>
              <w:t>Notificação ANACOM se alto risco (Art. 49 - atualização BD UE)</w:t>
            </w:r>
          </w:p>
        </w:tc>
        <w:tc>
          <w:tcPr>
            <w:tcW w:type="dxa" w:w="3135"/>
          </w:tcPr>
          <w:p>
            <w:r>
              <w:t>Em 5 dias úteis</w:t>
            </w:r>
          </w:p>
        </w:tc>
      </w:tr>
      <w:tr>
        <w:tc>
          <w:tcPr>
            <w:tcW w:type="dxa" w:w="3135"/>
          </w:tcPr>
          <w:p>
            <w:r>
              <w:t>10</w:t>
            </w:r>
          </w:p>
        </w:tc>
        <w:tc>
          <w:tcPr>
            <w:tcW w:type="dxa" w:w="3135"/>
          </w:tcPr>
          <w:p>
            <w:r>
              <w:t>Eliminação de modelos/datasets conforme política retenção</w:t>
            </w:r>
          </w:p>
        </w:tc>
        <w:tc>
          <w:tcPr>
            <w:tcW w:type="dxa" w:w="3135"/>
          </w:tcPr>
          <w:p>
            <w:r>
              <w:t>Imediato após retenção</w:t>
            </w:r>
          </w:p>
        </w:tc>
      </w:tr>
      <w:tr>
        <w:tc>
          <w:tcPr>
            <w:tcW w:type="dxa" w:w="3135"/>
          </w:tcPr>
          <w:p>
            <w:r>
              <w:t>11</w:t>
            </w:r>
          </w:p>
        </w:tc>
        <w:tc>
          <w:tcPr>
            <w:tcW w:type="dxa" w:w="3135"/>
          </w:tcPr>
          <w:p>
            <w:r>
              <w:t>Lições aprendidas - relatório</w:t>
            </w:r>
          </w:p>
        </w:tc>
        <w:tc>
          <w:tcPr>
            <w:tcW w:type="dxa" w:w="3135"/>
          </w:tcPr>
          <w:p>
            <w:r>
              <w:t>30 dias após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Comunicação a autoridades</w:t>
      </w:r>
    </w:p>
    <w:p>
      <w:pPr>
        <w:pStyle w:val="ListBullet"/>
        <w:ind w:left="283"/>
      </w:pPr>
      <w:r>
        <w:rPr>
          <w:sz w:val="21"/>
        </w:rPr>
        <w:t>☑  ANACOM: notificação Art. 49 (atualização BD UE) quando alto risco</w:t>
      </w:r>
    </w:p>
    <w:p>
      <w:pPr>
        <w:pStyle w:val="ListBullet"/>
        <w:ind w:left="283"/>
      </w:pPr>
      <w:r>
        <w:rPr>
          <w:sz w:val="21"/>
        </w:rPr>
        <w:t>☐  Autoridade do mercado se decisão imposta (Art. 79)</w:t>
      </w:r>
    </w:p>
    <w:p>
      <w:pPr>
        <w:pStyle w:val="ListBullet"/>
        <w:ind w:left="283"/>
      </w:pPr>
      <w:r>
        <w:rPr>
          <w:sz w:val="21"/>
        </w:rPr>
        <w:t>☑  CNPD se envolveu dados pessoais</w:t>
      </w:r>
    </w:p>
    <w:p>
      <w:pPr>
        <w:pStyle w:val="ListBullet"/>
        <w:ind w:left="283"/>
      </w:pPr>
      <w:r>
        <w:rPr>
          <w:sz w:val="21"/>
        </w:rPr>
        <w:t>☑  AI Office se modelo GPAI</w:t>
      </w:r>
    </w:p>
    <w:p>
      <w:pPr>
        <w:pStyle w:val="Heading2"/>
      </w:pPr>
      <w:r>
        <w:rPr>
          <w:rFonts w:ascii="Calibri" w:hAnsi="Calibri"/>
          <w:color w:val="0F172A"/>
        </w:rPr>
        <w:t>4. Conservação obrigatória pós-descomissionamento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Artefacto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Retenção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Localização</w:t>
            </w:r>
          </w:p>
        </w:tc>
      </w:tr>
      <w:tr>
        <w:tc>
          <w:tcPr>
            <w:tcW w:type="dxa" w:w="3135"/>
          </w:tcPr>
          <w:p>
            <w:r>
              <w:t>Logs (Art. 12)</w:t>
            </w:r>
          </w:p>
        </w:tc>
        <w:tc>
          <w:tcPr>
            <w:tcW w:type="dxa" w:w="3135"/>
          </w:tcPr>
          <w:p>
            <w:r>
              <w:t>10 anos após colocação no mercado</w:t>
            </w:r>
          </w:p>
        </w:tc>
        <w:tc>
          <w:tcPr>
            <w:tcW w:type="dxa" w:w="3135"/>
          </w:tcPr>
          <w:p>
            <w:r>
              <w:t>Cold storage S3 Glacier</w:t>
            </w:r>
          </w:p>
        </w:tc>
      </w:tr>
      <w:tr>
        <w:tc>
          <w:tcPr>
            <w:tcW w:type="dxa" w:w="3135"/>
          </w:tcPr>
          <w:p>
            <w:r>
              <w:t>Documentação técnica (Art. 11)</w:t>
            </w:r>
          </w:p>
        </w:tc>
        <w:tc>
          <w:tcPr>
            <w:tcW w:type="dxa" w:w="3135"/>
          </w:tcPr>
          <w:p>
            <w:r>
              <w:t>10 anos após colocação no mercado</w:t>
            </w:r>
          </w:p>
        </w:tc>
        <w:tc>
          <w:tcPr>
            <w:tcW w:type="dxa" w:w="3135"/>
          </w:tcPr>
          <w:p>
            <w:r>
              <w:t>DMS interno</w:t>
            </w:r>
          </w:p>
        </w:tc>
      </w:tr>
      <w:tr>
        <w:tc>
          <w:tcPr>
            <w:tcW w:type="dxa" w:w="3135"/>
          </w:tcPr>
          <w:p>
            <w:r>
              <w:t>Declaração UE Conformidade</w:t>
            </w:r>
          </w:p>
        </w:tc>
        <w:tc>
          <w:tcPr>
            <w:tcW w:type="dxa" w:w="3135"/>
          </w:tcPr>
          <w:p>
            <w:r>
              <w:t>10 anos após colocação no mercado</w:t>
            </w:r>
          </w:p>
        </w:tc>
        <w:tc>
          <w:tcPr>
            <w:tcW w:type="dxa" w:w="3135"/>
          </w:tcPr>
          <w:p>
            <w:r>
              <w:t>DMS interno + papel</w:t>
            </w:r>
          </w:p>
        </w:tc>
      </w:tr>
      <w:tr>
        <w:tc>
          <w:tcPr>
            <w:tcW w:type="dxa" w:w="3135"/>
          </w:tcPr>
          <w:p>
            <w:r>
              <w:t>Código-fonte (sem dados sensíveis)</w:t>
            </w:r>
          </w:p>
        </w:tc>
        <w:tc>
          <w:tcPr>
            <w:tcW w:type="dxa" w:w="3135"/>
          </w:tcPr>
          <w:p>
            <w:r>
              <w:t>10 anos</w:t>
            </w:r>
          </w:p>
        </w:tc>
        <w:tc>
          <w:tcPr>
            <w:tcW w:type="dxa" w:w="3135"/>
          </w:tcPr>
          <w:p>
            <w:r>
              <w:t>Git LFS read-only</w:t>
            </w:r>
          </w:p>
        </w:tc>
      </w:tr>
      <w:tr>
        <w:tc>
          <w:tcPr>
            <w:tcW w:type="dxa" w:w="3135"/>
          </w:tcPr>
          <w:p>
            <w:r>
              <w:t>Modelos treinados (pesos)</w:t>
            </w:r>
          </w:p>
        </w:tc>
        <w:tc>
          <w:tcPr>
            <w:tcW w:type="dxa" w:w="3135"/>
          </w:tcPr>
          <w:p>
            <w:r>
              <w:t>Conforme política retenção dados</w:t>
            </w:r>
          </w:p>
        </w:tc>
        <w:tc>
          <w:tcPr>
            <w:tcW w:type="dxa" w:w="3135"/>
          </w:tcPr>
          <w:p>
            <w:r>
              <w:t>Cold storage</w:t>
            </w:r>
          </w:p>
        </w:tc>
      </w:tr>
      <w:tr>
        <w:tc>
          <w:tcPr>
            <w:tcW w:type="dxa" w:w="3135"/>
          </w:tcPr>
          <w:p>
            <w:r>
              <w:t>Datasets de treino</w:t>
            </w:r>
          </w:p>
        </w:tc>
        <w:tc>
          <w:tcPr>
            <w:tcW w:type="dxa" w:w="3135"/>
          </w:tcPr>
          <w:p>
            <w:r>
              <w:t>Conforme política retenção (geralmente 5 anos)</w:t>
            </w:r>
          </w:p>
        </w:tc>
        <w:tc>
          <w:tcPr>
            <w:tcW w:type="dxa" w:w="3135"/>
          </w:tcPr>
          <w:p>
            <w:r>
              <w:t>Cold storage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