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Governança de Dados para Sistemas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10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Governança de Dados para Sistemas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Pré-preenchido para os 3 sistemas IA de TechMed Solutions, S.A..</w:t>
      </w:r>
    </w:p>
    <w:p>
      <w:pPr>
        <w:pStyle w:val="Heading2"/>
      </w:pPr>
      <w:r>
        <w:rPr>
          <w:rFonts w:ascii="Calibri" w:hAnsi="Calibri"/>
          <w:color w:val="0F172A"/>
        </w:rPr>
        <w:t>1. Conjuntos de dados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Dataset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Finalidade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Volume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Origem</w:t>
            </w:r>
          </w:p>
        </w:tc>
        <w:tc>
          <w:tcPr>
            <w:tcW w:type="dxa" w:w="1568"/>
            <w:shd w:val="clear" w:color="auto" w:fill="0F172A"/>
          </w:tcPr>
          <w:p>
            <w:r>
              <w:rPr>
                <w:b/>
                <w:color w:val="FFFFFF"/>
              </w:rPr>
              <w:t>Retenção</w:t>
            </w:r>
          </w:p>
        </w:tc>
      </w:tr>
      <w:tr>
        <w:tc>
          <w:tcPr>
            <w:tcW w:type="dxa" w:w="1568"/>
          </w:tcPr>
          <w:p>
            <w:r>
              <w:t>MedTriage-Train-2024-Q3</w:t>
            </w:r>
          </w:p>
        </w:tc>
        <w:tc>
          <w:tcPr>
            <w:tcW w:type="dxa" w:w="1568"/>
          </w:tcPr>
          <w:p>
            <w:r>
              <w:t>MedTriage AI</w:t>
            </w:r>
          </w:p>
        </w:tc>
        <w:tc>
          <w:tcPr>
            <w:tcW w:type="dxa" w:w="1568"/>
          </w:tcPr>
          <w:p>
            <w:r>
              <w:t>Treino</w:t>
            </w:r>
          </w:p>
        </w:tc>
        <w:tc>
          <w:tcPr>
            <w:tcW w:type="dxa" w:w="1568"/>
          </w:tcPr>
          <w:p>
            <w:r>
              <w:t>2.4M registos clínicos anonimizados</w:t>
            </w:r>
          </w:p>
        </w:tc>
        <w:tc>
          <w:tcPr>
            <w:tcW w:type="dxa" w:w="1568"/>
          </w:tcPr>
          <w:p>
            <w:r>
              <w:t>Hospital São João + Hospital Santa Maria (acordo DPA 2024-005)</w:t>
            </w:r>
          </w:p>
        </w:tc>
        <w:tc>
          <w:tcPr>
            <w:tcW w:type="dxa" w:w="1568"/>
          </w:tcPr>
          <w:p>
            <w:r>
              <w:t>10 anos após retirada do mercado (Art. 11)</w:t>
            </w:r>
          </w:p>
        </w:tc>
      </w:tr>
      <w:tr>
        <w:tc>
          <w:tcPr>
            <w:tcW w:type="dxa" w:w="1568"/>
          </w:tcPr>
          <w:p>
            <w:r>
              <w:t>HR-Match-Train-2025-Q4</w:t>
            </w:r>
          </w:p>
        </w:tc>
        <w:tc>
          <w:tcPr>
            <w:tcW w:type="dxa" w:w="1568"/>
          </w:tcPr>
          <w:p>
            <w:r>
              <w:t>HR-Match</w:t>
            </w:r>
          </w:p>
        </w:tc>
        <w:tc>
          <w:tcPr>
            <w:tcW w:type="dxa" w:w="1568"/>
          </w:tcPr>
          <w:p>
            <w:r>
              <w:t>Treino + validação</w:t>
            </w:r>
          </w:p>
        </w:tc>
        <w:tc>
          <w:tcPr>
            <w:tcW w:type="dxa" w:w="1568"/>
          </w:tcPr>
          <w:p>
            <w:r>
              <w:t>180k CVs anonimizados</w:t>
            </w:r>
          </w:p>
        </w:tc>
        <w:tc>
          <w:tcPr>
            <w:tcW w:type="dxa" w:w="1568"/>
          </w:tcPr>
          <w:p>
            <w:r>
              <w:t>TalentAI Pro (fornecedor)</w:t>
            </w:r>
          </w:p>
        </w:tc>
        <w:tc>
          <w:tcPr>
            <w:tcW w:type="dxa" w:w="1568"/>
          </w:tcPr>
          <w:p>
            <w:r>
              <w:t>5 anos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Práticas de governação implementadas</w:t>
      </w:r>
    </w:p>
    <w:p>
      <w:pPr>
        <w:pStyle w:val="ListBullet"/>
        <w:ind w:left="283"/>
      </w:pPr>
      <w:r>
        <w:rPr>
          <w:sz w:val="21"/>
        </w:rPr>
        <w:t>☑  Decisões de design relevantes para os dados documentadas (logbook)</w:t>
      </w:r>
    </w:p>
    <w:p>
      <w:pPr>
        <w:pStyle w:val="ListBullet"/>
        <w:ind w:left="283"/>
      </w:pPr>
      <w:r>
        <w:rPr>
          <w:sz w:val="21"/>
        </w:rPr>
        <w:t>☑  Recolha e fontes documentadas com DPA assinada</w:t>
      </w:r>
    </w:p>
    <w:p>
      <w:pPr>
        <w:pStyle w:val="ListBullet"/>
        <w:ind w:left="283"/>
      </w:pPr>
      <w:r>
        <w:rPr>
          <w:sz w:val="21"/>
        </w:rPr>
        <w:t>☑  Operações de tratamento (anotação, limpeza, agregação) com versionamento</w:t>
      </w:r>
    </w:p>
    <w:p>
      <w:pPr>
        <w:pStyle w:val="ListBullet"/>
        <w:ind w:left="283"/>
      </w:pPr>
      <w:r>
        <w:rPr>
          <w:sz w:val="21"/>
        </w:rPr>
        <w:t>☑  Hipóteses formuladas registadas e revistas trimestralmente</w:t>
      </w:r>
    </w:p>
    <w:p>
      <w:pPr>
        <w:pStyle w:val="ListBullet"/>
        <w:ind w:left="283"/>
      </w:pPr>
      <w:r>
        <w:rPr>
          <w:sz w:val="21"/>
        </w:rPr>
        <w:t>☑  Avaliação de disponibilidade, quantidade e adequação</w:t>
      </w:r>
    </w:p>
    <w:p>
      <w:pPr>
        <w:pStyle w:val="ListBullet"/>
        <w:ind w:left="283"/>
      </w:pPr>
      <w:r>
        <w:rPr>
          <w:sz w:val="21"/>
        </w:rPr>
        <w:t>☑  Análise de vieses por subgrupo (idade, género, região)</w:t>
      </w:r>
    </w:p>
    <w:p>
      <w:pPr>
        <w:pStyle w:val="ListBullet"/>
        <w:ind w:left="283"/>
      </w:pPr>
      <w:r>
        <w:rPr>
          <w:sz w:val="21"/>
        </w:rPr>
        <w:t>☑  Medidas para detetar, prevenir e mitigar vieses (rebalanceamento, fairness constraints)</w:t>
      </w:r>
    </w:p>
    <w:p>
      <w:pPr>
        <w:pStyle w:val="ListBullet"/>
        <w:ind w:left="283"/>
      </w:pPr>
      <w:r>
        <w:rPr>
          <w:sz w:val="21"/>
        </w:rPr>
        <w:t>☑  Identificação de lacunas relevantes documentadas</w:t>
      </w:r>
    </w:p>
    <w:p>
      <w:pPr>
        <w:pStyle w:val="Heading2"/>
      </w:pPr>
      <w:r>
        <w:rPr>
          <w:rFonts w:ascii="Calibri" w:hAnsi="Calibri"/>
          <w:color w:val="0F172A"/>
        </w:rPr>
        <w:t>3. Qualidade dos dados - métricas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Dimensão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Métrica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Limiar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Valor atual</w:t>
            </w:r>
          </w:p>
        </w:tc>
      </w:tr>
      <w:tr>
        <w:tc>
          <w:tcPr>
            <w:tcW w:type="dxa" w:w="2351"/>
          </w:tcPr>
          <w:p>
            <w:r>
              <w:t>Relevância</w:t>
            </w:r>
          </w:p>
        </w:tc>
        <w:tc>
          <w:tcPr>
            <w:tcW w:type="dxa" w:w="2351"/>
          </w:tcPr>
          <w:p>
            <w:r>
              <w:t>Cobertura de casos clínicos representativos</w:t>
            </w:r>
          </w:p>
        </w:tc>
        <w:tc>
          <w:tcPr>
            <w:tcW w:type="dxa" w:w="2351"/>
          </w:tcPr>
          <w:p>
            <w:r>
              <w:t>≥ 95% MTS spectrum</w:t>
            </w:r>
          </w:p>
        </w:tc>
        <w:tc>
          <w:tcPr>
            <w:tcW w:type="dxa" w:w="2351"/>
          </w:tcPr>
          <w:p>
            <w:r>
              <w:t>97%</w:t>
            </w:r>
          </w:p>
        </w:tc>
      </w:tr>
      <w:tr>
        <w:tc>
          <w:tcPr>
            <w:tcW w:type="dxa" w:w="2351"/>
          </w:tcPr>
          <w:p>
            <w:r>
              <w:t>Representatividade</w:t>
            </w:r>
          </w:p>
        </w:tc>
        <w:tc>
          <w:tcPr>
            <w:tcW w:type="dxa" w:w="2351"/>
          </w:tcPr>
          <w:p>
            <w:r>
              <w:t>Disparate Impact por idade</w:t>
            </w:r>
          </w:p>
        </w:tc>
        <w:tc>
          <w:tcPr>
            <w:tcW w:type="dxa" w:w="2351"/>
          </w:tcPr>
          <w:p>
            <w:r>
              <w:t>0.80-1.25</w:t>
            </w:r>
          </w:p>
        </w:tc>
        <w:tc>
          <w:tcPr>
            <w:tcW w:type="dxa" w:w="2351"/>
          </w:tcPr>
          <w:p>
            <w:r>
              <w:t>0.92</w:t>
            </w:r>
          </w:p>
        </w:tc>
      </w:tr>
      <w:tr>
        <w:tc>
          <w:tcPr>
            <w:tcW w:type="dxa" w:w="2351"/>
          </w:tcPr>
          <w:p>
            <w:r>
              <w:t>Erros</w:t>
            </w:r>
          </w:p>
        </w:tc>
        <w:tc>
          <w:tcPr>
            <w:tcW w:type="dxa" w:w="2351"/>
          </w:tcPr>
          <w:p>
            <w:r>
              <w:t>Taxa de rótulos incorretos (sample audit)</w:t>
            </w:r>
          </w:p>
        </w:tc>
        <w:tc>
          <w:tcPr>
            <w:tcW w:type="dxa" w:w="2351"/>
          </w:tcPr>
          <w:p>
            <w:r>
              <w:t>≤ 1%</w:t>
            </w:r>
          </w:p>
        </w:tc>
        <w:tc>
          <w:tcPr>
            <w:tcW w:type="dxa" w:w="2351"/>
          </w:tcPr>
          <w:p>
            <w:r>
              <w:t>0.4%</w:t>
            </w:r>
          </w:p>
        </w:tc>
      </w:tr>
      <w:tr>
        <w:tc>
          <w:tcPr>
            <w:tcW w:type="dxa" w:w="2351"/>
          </w:tcPr>
          <w:p>
            <w:r>
              <w:t>Completude</w:t>
            </w:r>
          </w:p>
        </w:tc>
        <w:tc>
          <w:tcPr>
            <w:tcW w:type="dxa" w:w="2351"/>
          </w:tcPr>
          <w:p>
            <w:r>
              <w:t>Features faltantes</w:t>
            </w:r>
          </w:p>
        </w:tc>
        <w:tc>
          <w:tcPr>
            <w:tcW w:type="dxa" w:w="2351"/>
          </w:tcPr>
          <w:p>
            <w:r>
              <w:t>≤ 5%</w:t>
            </w:r>
          </w:p>
        </w:tc>
        <w:tc>
          <w:tcPr>
            <w:tcW w:type="dxa" w:w="2351"/>
          </w:tcPr>
          <w:p>
            <w:r>
              <w:t>2.1%</w:t>
            </w:r>
          </w:p>
        </w:tc>
      </w:tr>
      <w:tr>
        <w:tc>
          <w:tcPr>
            <w:tcW w:type="dxa" w:w="2351"/>
          </w:tcPr>
          <w:p>
            <w:r>
              <w:t>Atualidade</w:t>
            </w:r>
          </w:p>
        </w:tc>
        <w:tc>
          <w:tcPr>
            <w:tcW w:type="dxa" w:w="2351"/>
          </w:tcPr>
          <w:p>
            <w:r>
              <w:t>Idade média dos dados</w:t>
            </w:r>
          </w:p>
        </w:tc>
        <w:tc>
          <w:tcPr>
            <w:tcW w:type="dxa" w:w="2351"/>
          </w:tcPr>
          <w:p>
            <w:r>
              <w:t>≤ 5 anos</w:t>
            </w:r>
          </w:p>
        </w:tc>
        <w:tc>
          <w:tcPr>
            <w:tcW w:type="dxa" w:w="2351"/>
          </w:tcPr>
          <w:p>
            <w:r>
              <w:t>3.2 anos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Tratamento de dados pessoais especiais (Art. 10(5))</w:t>
      </w:r>
    </w:p>
    <w:p>
      <w:r>
        <w:rPr>
          <w:sz w:val="22"/>
        </w:rPr>
        <w:t>Para detetar e corrigir vieses no MedTriage AI, é necessário tratar dados de saúde (Art. 9 RGPD). Salvaguardas:</w:t>
      </w:r>
    </w:p>
    <w:p>
      <w:pPr>
        <w:pStyle w:val="ListBullet"/>
        <w:ind w:left="283"/>
      </w:pPr>
      <w:r>
        <w:rPr>
          <w:sz w:val="21"/>
        </w:rPr>
        <w:t>☑  Pseudonimização irreversível dos identificadores diretos antes de qualquer utilização</w:t>
      </w:r>
    </w:p>
    <w:p>
      <w:pPr>
        <w:pStyle w:val="ListBullet"/>
        <w:ind w:left="283"/>
      </w:pPr>
      <w:r>
        <w:rPr>
          <w:sz w:val="21"/>
        </w:rPr>
        <w:t>☑  Acesso restrito a 4 pessoas (data engineers + AI Officer)</w:t>
      </w:r>
    </w:p>
    <w:p>
      <w:pPr>
        <w:pStyle w:val="ListBullet"/>
        <w:ind w:left="283"/>
      </w:pPr>
      <w:r>
        <w:rPr>
          <w:sz w:val="21"/>
        </w:rPr>
        <w:t>☑  Logs de acesso conservados 10 anos</w:t>
      </w:r>
    </w:p>
    <w:p>
      <w:pPr>
        <w:pStyle w:val="ListBullet"/>
        <w:ind w:left="283"/>
      </w:pPr>
      <w:r>
        <w:rPr>
          <w:sz w:val="21"/>
        </w:rPr>
        <w:t>☑  Avaliação de Impacto sobre Proteção de Dados (AIPD/DPIA) realizada conforme RGPD</w:t>
      </w:r>
    </w:p>
    <w:p>
      <w:pPr>
        <w:pStyle w:val="ListBullet"/>
        <w:ind w:left="283"/>
      </w:pPr>
      <w:r>
        <w:rPr>
          <w:sz w:val="21"/>
        </w:rPr>
        <w:t>☑  Parecer favorável da CNPD obtido (proc. 2024/167)</w:t>
      </w:r>
    </w:p>
    <w:p>
      <w:pPr>
        <w:pStyle w:val="ListBullet"/>
        <w:ind w:left="283"/>
      </w:pPr>
      <w:r>
        <w:rPr>
          <w:sz w:val="21"/>
        </w:rPr>
        <w:t>☑  Eliminação automática de dados após fim do propósito</w:t>
      </w:r>
    </w:p>
    <w:p>
      <w:pPr>
        <w:pStyle w:val="Heading2"/>
      </w:pPr>
      <w:r>
        <w:rPr>
          <w:rFonts w:ascii="Calibri" w:hAnsi="Calibri"/>
          <w:color w:val="0F172A"/>
        </w:rPr>
        <w:t>5. Auditoria de viés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Mensal (automática) + auditoria externa anual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Subgrupos auditados</w:t>
            </w:r>
          </w:p>
        </w:tc>
        <w:tc>
          <w:tcPr>
            <w:tcW w:type="dxa" w:w="6236"/>
          </w:tcPr>
          <w:p>
            <w:r>
              <w:t>Idade (5 escalões), género, região, etnia inferida (proxy nome+morada)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Métrica primária</w:t>
            </w:r>
          </w:p>
        </w:tc>
        <w:tc>
          <w:tcPr>
            <w:tcW w:type="dxa" w:w="6236"/>
          </w:tcPr>
          <w:p>
            <w:r>
              <w:t>Equal Opportunity Difference (EOD) ≤ 0.05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auditoria</w:t>
            </w:r>
          </w:p>
        </w:tc>
        <w:tc>
          <w:tcPr>
            <w:tcW w:type="dxa" w:w="6236"/>
          </w:tcPr>
          <w:p>
            <w:r>
              <w:t>2026-04-30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auditoria externa</w:t>
            </w:r>
          </w:p>
        </w:tc>
        <w:tc>
          <w:tcPr>
            <w:tcW w:type="dxa" w:w="6236"/>
          </w:tcPr>
          <w:p>
            <w:r>
              <w:t>2026-09 (KPMG, contrato 2026-014)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