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Plano de Monitorização Pós-Mercado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Conforme Art. 72 do Regulamento (UE) 2024/1689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72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Plano de Monitorização Pós-Mercado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PMM-MED-2026-001 - referência específica para MedTriage AI v3.2.x.</w:t>
      </w:r>
    </w:p>
    <w:p>
      <w:pPr>
        <w:pStyle w:val="Heading2"/>
      </w:pPr>
      <w:r>
        <w:rPr>
          <w:rFonts w:ascii="Calibri" w:hAnsi="Calibri"/>
          <w:color w:val="0F172A"/>
        </w:rPr>
        <w:t>1. Sistema de monitorização</w:t>
      </w:r>
    </w:p>
    <w:p>
      <w:r>
        <w:rPr>
          <w:sz w:val="22"/>
        </w:rPr>
        <w:t>A TechMed mantém um sistema ativo, documentado e contínuo de recolha e análise de dados de desempenho do MedTriage durante o seu ciclo de vida - operado pelo Comité de Qualidade Clínica (semanalmente) e pelo Comité IA (mensalmente).</w:t>
      </w:r>
    </w:p>
    <w:p>
      <w:pPr>
        <w:pStyle w:val="Heading2"/>
      </w:pPr>
      <w:r>
        <w:rPr>
          <w:rFonts w:ascii="Calibri" w:hAnsi="Calibri"/>
          <w:color w:val="0F172A"/>
        </w:rPr>
        <w:t>2. Dados a recolher</w:t>
      </w:r>
    </w:p>
    <w:p>
      <w:pPr>
        <w:pStyle w:val="ListBullet"/>
        <w:ind w:left="283"/>
      </w:pPr>
      <w:r>
        <w:rPr>
          <w:sz w:val="21"/>
        </w:rPr>
        <w:t>☑  Logs automáticos de cada inferência (input, output, confiança, timestamp, supervisor)</w:t>
      </w:r>
    </w:p>
    <w:p>
      <w:pPr>
        <w:pStyle w:val="ListBullet"/>
        <w:ind w:left="283"/>
      </w:pPr>
      <w:r>
        <w:rPr>
          <w:sz w:val="21"/>
        </w:rPr>
        <w:t>☑  Reclamações e feedback de utilizadores (canal queixas-ia@techmed)</w:t>
      </w:r>
    </w:p>
    <w:p>
      <w:pPr>
        <w:pStyle w:val="ListBullet"/>
        <w:ind w:left="283"/>
      </w:pPr>
      <w:r>
        <w:rPr>
          <w:sz w:val="21"/>
        </w:rPr>
        <w:t>☑  Incidentes graves (Art. 73) - workflow integrado com SI hospitalar</w:t>
      </w:r>
    </w:p>
    <w:p>
      <w:pPr>
        <w:pStyle w:val="ListBullet"/>
        <w:ind w:left="283"/>
      </w:pPr>
      <w:r>
        <w:rPr>
          <w:sz w:val="21"/>
        </w:rPr>
        <w:t>☑  Mau funcionamento técnico (latência, erros HTTP)</w:t>
      </w:r>
    </w:p>
    <w:p>
      <w:pPr>
        <w:pStyle w:val="ListBullet"/>
        <w:ind w:left="283"/>
      </w:pPr>
      <w:r>
        <w:rPr>
          <w:sz w:val="21"/>
        </w:rPr>
        <w:t>☑  Métricas de desempenho diárias (AUC, sensibilidade, latência)</w:t>
      </w:r>
    </w:p>
    <w:p>
      <w:pPr>
        <w:pStyle w:val="ListBullet"/>
        <w:ind w:left="283"/>
      </w:pPr>
      <w:r>
        <w:rPr>
          <w:sz w:val="21"/>
        </w:rPr>
        <w:t>☑  Drift detetado (PSI, KS test) por feature</w:t>
      </w:r>
    </w:p>
    <w:p>
      <w:pPr>
        <w:pStyle w:val="ListBullet"/>
        <w:ind w:left="283"/>
      </w:pPr>
      <w:r>
        <w:rPr>
          <w:sz w:val="21"/>
        </w:rPr>
        <w:t>☑  Feedback dos supervisores via botão "discordar"</w:t>
      </w:r>
    </w:p>
    <w:p>
      <w:pPr>
        <w:pStyle w:val="Heading2"/>
      </w:pPr>
      <w:r>
        <w:rPr>
          <w:rFonts w:ascii="Calibri" w:hAnsi="Calibri"/>
          <w:color w:val="0F172A"/>
        </w:rPr>
        <w:t>3. Frequência de revisão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Atividade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Frequência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2351"/>
            <w:shd w:val="clear" w:color="auto" w:fill="0F172A"/>
          </w:tcPr>
          <w:p>
            <w:r>
              <w:rPr>
                <w:b/>
                <w:color w:val="FFFFFF"/>
              </w:rPr>
              <w:t>Output</w:t>
            </w:r>
          </w:p>
        </w:tc>
      </w:tr>
      <w:tr>
        <w:tc>
          <w:tcPr>
            <w:tcW w:type="dxa" w:w="2351"/>
          </w:tcPr>
          <w:p>
            <w:r>
              <w:t>Análise de logs</w:t>
            </w:r>
          </w:p>
        </w:tc>
        <w:tc>
          <w:tcPr>
            <w:tcW w:type="dxa" w:w="2351"/>
          </w:tcPr>
          <w:p>
            <w:r>
              <w:t>Diária (auto)</w:t>
            </w:r>
          </w:p>
        </w:tc>
        <w:tc>
          <w:tcPr>
            <w:tcW w:type="dxa" w:w="2351"/>
          </w:tcPr>
          <w:p>
            <w:r>
              <w:t>Ana Costa</w:t>
            </w:r>
          </w:p>
        </w:tc>
        <w:tc>
          <w:tcPr>
            <w:tcW w:type="dxa" w:w="2351"/>
          </w:tcPr>
          <w:p>
            <w:r>
              <w:t>Dashboard Grafana</w:t>
            </w:r>
          </w:p>
        </w:tc>
      </w:tr>
      <w:tr>
        <w:tc>
          <w:tcPr>
            <w:tcW w:type="dxa" w:w="2351"/>
          </w:tcPr>
          <w:p>
            <w:r>
              <w:t>Revisão de incidentes</w:t>
            </w:r>
          </w:p>
        </w:tc>
        <w:tc>
          <w:tcPr>
            <w:tcW w:type="dxa" w:w="2351"/>
          </w:tcPr>
          <w:p>
            <w:r>
              <w:t>Por incidente + mensal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Acta + plano de ação</w:t>
            </w:r>
          </w:p>
        </w:tc>
      </w:tr>
      <w:tr>
        <w:tc>
          <w:tcPr>
            <w:tcW w:type="dxa" w:w="2351"/>
          </w:tcPr>
          <w:p>
            <w:r>
              <w:t>Avaliação de métricas</w:t>
            </w:r>
          </w:p>
        </w:tc>
        <w:tc>
          <w:tcPr>
            <w:tcW w:type="dxa" w:w="2351"/>
          </w:tcPr>
          <w:p>
            <w:r>
              <w:t>Semanal (Comité Qualidade)</w:t>
            </w:r>
          </w:p>
        </w:tc>
        <w:tc>
          <w:tcPr>
            <w:tcW w:type="dxa" w:w="2351"/>
          </w:tcPr>
          <w:p>
            <w:r>
              <w:t>Dr.ª Sofia Mendes</w:t>
            </w:r>
          </w:p>
        </w:tc>
        <w:tc>
          <w:tcPr>
            <w:tcW w:type="dxa" w:w="2351"/>
          </w:tcPr>
          <w:p>
            <w:r>
              <w:t>Relatório semanal</w:t>
            </w:r>
          </w:p>
        </w:tc>
      </w:tr>
      <w:tr>
        <w:tc>
          <w:tcPr>
            <w:tcW w:type="dxa" w:w="2351"/>
          </w:tcPr>
          <w:p>
            <w:r>
              <w:t>Revisão de risco (Art. 9)</w:t>
            </w:r>
          </w:p>
        </w:tc>
        <w:tc>
          <w:tcPr>
            <w:tcW w:type="dxa" w:w="2351"/>
          </w:tcPr>
          <w:p>
            <w:r>
              <w:t>Trimestral (Comité IA)</w:t>
            </w:r>
          </w:p>
        </w:tc>
        <w:tc>
          <w:tcPr>
            <w:tcW w:type="dxa" w:w="2351"/>
          </w:tcPr>
          <w:p>
            <w:r>
              <w:t>Maria Silva</w:t>
            </w:r>
          </w:p>
        </w:tc>
        <w:tc>
          <w:tcPr>
            <w:tcW w:type="dxa" w:w="2351"/>
          </w:tcPr>
          <w:p>
            <w:r>
              <w:t>PGR-IA atualizada</w:t>
            </w:r>
          </w:p>
        </w:tc>
      </w:tr>
      <w:tr>
        <w:tc>
          <w:tcPr>
            <w:tcW w:type="dxa" w:w="2351"/>
          </w:tcPr>
          <w:p>
            <w:r>
              <w:t>Auditoria externa</w:t>
            </w:r>
          </w:p>
        </w:tc>
        <w:tc>
          <w:tcPr>
            <w:tcW w:type="dxa" w:w="2351"/>
          </w:tcPr>
          <w:p>
            <w:r>
              <w:t>Anual</w:t>
            </w:r>
          </w:p>
        </w:tc>
        <w:tc>
          <w:tcPr>
            <w:tcW w:type="dxa" w:w="2351"/>
          </w:tcPr>
          <w:p>
            <w:r>
              <w:t>KPMG</w:t>
            </w:r>
          </w:p>
        </w:tc>
        <w:tc>
          <w:tcPr>
            <w:tcW w:type="dxa" w:w="2351"/>
          </w:tcPr>
          <w:p>
            <w:r>
              <w:t>Relatório de auditoria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Ações corretivas - critérios de acionamento</w:t>
      </w:r>
    </w:p>
    <w:p>
      <w:pPr>
        <w:pStyle w:val="ListBullet"/>
        <w:ind w:left="283"/>
      </w:pPr>
      <w:r>
        <w:rPr>
          <w:sz w:val="21"/>
        </w:rPr>
        <w:t>☑  AUC-PR cai abaixo de 0.90 por 2 dias consecutivos → emergência</w:t>
      </w:r>
    </w:p>
    <w:p>
      <w:pPr>
        <w:pStyle w:val="ListBullet"/>
        <w:ind w:left="283"/>
      </w:pPr>
      <w:r>
        <w:rPr>
          <w:sz w:val="21"/>
        </w:rPr>
        <w:t>☑  Disparate Impact fora do intervalo [0.8, 1.25] → reunião extraordinária Comité IA em 24h</w:t>
      </w:r>
    </w:p>
    <w:p>
      <w:pPr>
        <w:pStyle w:val="ListBullet"/>
        <w:ind w:left="283"/>
      </w:pPr>
      <w:r>
        <w:rPr>
          <w:sz w:val="21"/>
        </w:rPr>
        <w:t>☑  Falsos negativos classe vermelha → suspensão imediata + escalação CEO</w:t>
      </w:r>
    </w:p>
    <w:p>
      <w:pPr>
        <w:pStyle w:val="ListBullet"/>
        <w:ind w:left="283"/>
      </w:pPr>
      <w:r>
        <w:rPr>
          <w:sz w:val="21"/>
        </w:rPr>
        <w:t>☑  Latência p99 &gt; 500ms por &gt;1h → resposta CISO</w:t>
      </w:r>
    </w:p>
    <w:p>
      <w:pPr>
        <w:pStyle w:val="ListBullet"/>
        <w:ind w:left="283"/>
      </w:pPr>
      <w:r>
        <w:rPr>
          <w:sz w:val="21"/>
        </w:rPr>
        <w:t>☑  Reclamação envolvendo dano à saúde → notificação Art. 73 imediata</w:t>
      </w:r>
    </w:p>
    <w:p>
      <w:pPr>
        <w:pStyle w:val="Heading2"/>
      </w:pPr>
      <w:r>
        <w:rPr>
          <w:rFonts w:ascii="Calibri" w:hAnsi="Calibri"/>
          <w:color w:val="0F172A"/>
        </w:rPr>
        <w:t>5. Notificação à autoridade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Autoridade</w:t>
            </w:r>
          </w:p>
        </w:tc>
        <w:tc>
          <w:tcPr>
            <w:tcW w:type="dxa" w:w="6236"/>
          </w:tcPr>
          <w:p>
            <w:r>
              <w:t>ANACOM (autoridade nacional coordenadora - Art. 70)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Email designado</w:t>
            </w:r>
          </w:p>
        </w:tc>
        <w:tc>
          <w:tcPr>
            <w:tcW w:type="dxa" w:w="6236"/>
          </w:tcPr>
          <w:p>
            <w:r>
              <w:t>ai-act@anacom.pt (a confirmar conforme orientação ANACOM)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Procedimento Art. 20</w:t>
            </w:r>
          </w:p>
        </w:tc>
        <w:tc>
          <w:tcPr>
            <w:tcW w:type="dxa" w:w="6236"/>
          </w:tcPr>
          <w:p>
            <w:r>
              <w:t>Em caso de não-conformidade detetada na pós-mercado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Procedimento Art. 73</w:t>
            </w:r>
          </w:p>
        </w:tc>
        <w:tc>
          <w:tcPr>
            <w:tcW w:type="dxa" w:w="6236"/>
          </w:tcPr>
          <w:p>
            <w:r>
              <w:t>Notificação 24h/72h/30d em incidente grave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