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Playbook de Resposta a Incidente Grave em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PLAY-INC-001 v1.0 - Procedimento operacional Art. 73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73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Playbook de Resposta a Incidente Grave em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Playbook profissional para deteção e resposta. Validado com o caso INC-2026-001.</w:t>
      </w:r>
    </w:p>
    <w:p>
      <w:pPr>
        <w:pStyle w:val="Heading2"/>
      </w:pPr>
      <w:r>
        <w:rPr>
          <w:rFonts w:ascii="Calibri" w:hAnsi="Calibri"/>
          <w:color w:val="0F172A"/>
        </w:rPr>
        <w:t>1. Definição de incidente grave (Art. 3(49))</w:t>
      </w:r>
    </w:p>
    <w:p>
      <w:pPr>
        <w:pStyle w:val="ListBullet"/>
        <w:ind w:left="283"/>
      </w:pPr>
      <w:r>
        <w:rPr>
          <w:sz w:val="21"/>
        </w:rPr>
        <w:t>☐  Morte ou dano grave para a saúde de uma pessoa</w:t>
      </w:r>
    </w:p>
    <w:p>
      <w:pPr>
        <w:pStyle w:val="ListBullet"/>
        <w:ind w:left="283"/>
      </w:pPr>
      <w:r>
        <w:rPr>
          <w:sz w:val="21"/>
        </w:rPr>
        <w:t>☐  Perturbação grave e irreversível de infraestruturas críticas</w:t>
      </w:r>
    </w:p>
    <w:p>
      <w:pPr>
        <w:pStyle w:val="ListBullet"/>
        <w:ind w:left="283"/>
      </w:pPr>
      <w:r>
        <w:rPr>
          <w:sz w:val="21"/>
        </w:rPr>
        <w:t>☐  Violação de direitos fundamentais</w:t>
      </w:r>
    </w:p>
    <w:p>
      <w:pPr>
        <w:pStyle w:val="ListBullet"/>
        <w:ind w:left="283"/>
      </w:pPr>
      <w:r>
        <w:rPr>
          <w:sz w:val="21"/>
        </w:rPr>
        <w:t>☐  Dano grave a propriedade ou ambiente</w:t>
      </w:r>
    </w:p>
    <w:p>
      <w:pPr>
        <w:pStyle w:val="Heading2"/>
      </w:pPr>
      <w:r>
        <w:rPr>
          <w:rFonts w:ascii="Calibri" w:hAnsi="Calibri"/>
          <w:color w:val="0F172A"/>
        </w:rPr>
        <w:t>2. Equipa de resposta (Crisis Response Team)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Pessoa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Backup / responsabilidade</w:t>
            </w:r>
          </w:p>
        </w:tc>
      </w:tr>
      <w:tr>
        <w:tc>
          <w:tcPr>
            <w:tcW w:type="dxa" w:w="3135"/>
          </w:tcPr>
          <w:p>
            <w:r>
              <w:t>Comandante (Incident Commander)</w:t>
            </w:r>
          </w:p>
        </w:tc>
        <w:tc>
          <w:tcPr>
            <w:tcW w:type="dxa" w:w="3135"/>
          </w:tcPr>
          <w:p>
            <w:r>
              <w:t>Maria Silva</w:t>
            </w:r>
          </w:p>
        </w:tc>
        <w:tc>
          <w:tcPr>
            <w:tcW w:type="dxa" w:w="3135"/>
          </w:tcPr>
          <w:p>
            <w:r>
              <w:t>Backup: João Santos</w:t>
            </w:r>
          </w:p>
        </w:tc>
      </w:tr>
      <w:tr>
        <w:tc>
          <w:tcPr>
            <w:tcW w:type="dxa" w:w="3135"/>
          </w:tcPr>
          <w:p>
            <w:r>
              <w:t>Comunicação externa</w:t>
            </w:r>
          </w:p>
        </w:tc>
        <w:tc>
          <w:tcPr>
            <w:tcW w:type="dxa" w:w="3135"/>
          </w:tcPr>
          <w:p>
            <w:r>
              <w:t>Dr. Rui Pereira (CEO)</w:t>
            </w:r>
          </w:p>
        </w:tc>
        <w:tc>
          <w:tcPr>
            <w:tcW w:type="dxa" w:w="3135"/>
          </w:tcPr>
          <w:p>
            <w:r>
              <w:t>Comunicações públicas e autoridades</w:t>
            </w:r>
          </w:p>
        </w:tc>
      </w:tr>
      <w:tr>
        <w:tc>
          <w:tcPr>
            <w:tcW w:type="dxa" w:w="3135"/>
          </w:tcPr>
          <w:p>
            <w:r>
              <w:t>Técnico</w:t>
            </w:r>
          </w:p>
        </w:tc>
        <w:tc>
          <w:tcPr>
            <w:tcW w:type="dxa" w:w="3135"/>
          </w:tcPr>
          <w:p>
            <w:r>
              <w:t>Eng. Carlos Marques (CTO)</w:t>
            </w:r>
          </w:p>
        </w:tc>
        <w:tc>
          <w:tcPr>
            <w:tcW w:type="dxa" w:w="3135"/>
          </w:tcPr>
          <w:p>
            <w:r>
              <w:t>Análise técnica + remediação</w:t>
            </w:r>
          </w:p>
        </w:tc>
      </w:tr>
      <w:tr>
        <w:tc>
          <w:tcPr>
            <w:tcW w:type="dxa" w:w="3135"/>
          </w:tcPr>
          <w:p>
            <w:r>
              <w:t>Legal</w:t>
            </w:r>
          </w:p>
        </w:tc>
        <w:tc>
          <w:tcPr>
            <w:tcW w:type="dxa" w:w="3135"/>
          </w:tcPr>
          <w:p>
            <w:r>
              <w:t>Carla Sousa (Compliance)</w:t>
            </w:r>
          </w:p>
        </w:tc>
        <w:tc>
          <w:tcPr>
            <w:tcW w:type="dxa" w:w="3135"/>
          </w:tcPr>
          <w:p>
            <w:r>
              <w:t>Notificação Art. 73, suporte jurídico</w:t>
            </w:r>
          </w:p>
        </w:tc>
      </w:tr>
      <w:tr>
        <w:tc>
          <w:tcPr>
            <w:tcW w:type="dxa" w:w="3135"/>
          </w:tcPr>
          <w:p>
            <w:r>
              <w:t>Privacidade</w:t>
            </w:r>
          </w:p>
        </w:tc>
        <w:tc>
          <w:tcPr>
            <w:tcW w:type="dxa" w:w="3135"/>
          </w:tcPr>
          <w:p>
            <w:r>
              <w:t>João Santos (DPO)</w:t>
            </w:r>
          </w:p>
        </w:tc>
        <w:tc>
          <w:tcPr>
            <w:tcW w:type="dxa" w:w="3135"/>
          </w:tcPr>
          <w:p>
            <w:r>
              <w:t>Avaliação RGPD</w:t>
            </w:r>
          </w:p>
        </w:tc>
      </w:tr>
      <w:tr>
        <w:tc>
          <w:tcPr>
            <w:tcW w:type="dxa" w:w="3135"/>
          </w:tcPr>
          <w:p>
            <w:r>
              <w:t>Segurança</w:t>
            </w:r>
          </w:p>
        </w:tc>
        <w:tc>
          <w:tcPr>
            <w:tcW w:type="dxa" w:w="3135"/>
          </w:tcPr>
          <w:p>
            <w:r>
              <w:t>Ana Costa (CISO)</w:t>
            </w:r>
          </w:p>
        </w:tc>
        <w:tc>
          <w:tcPr>
            <w:tcW w:type="dxa" w:w="3135"/>
          </w:tcPr>
          <w:p>
            <w:r>
              <w:t>Forense, contenção</w:t>
            </w:r>
          </w:p>
        </w:tc>
      </w:tr>
      <w:tr>
        <w:tc>
          <w:tcPr>
            <w:tcW w:type="dxa" w:w="3135"/>
          </w:tcPr>
          <w:p>
            <w:r>
              <w:t>Owner do sistema</w:t>
            </w:r>
          </w:p>
        </w:tc>
        <w:tc>
          <w:tcPr>
            <w:tcW w:type="dxa" w:w="3135"/>
          </w:tcPr>
          <w:p>
            <w:r>
              <w:t>Conforme sistema</w:t>
            </w:r>
          </w:p>
        </w:tc>
        <w:tc>
          <w:tcPr>
            <w:tcW w:type="dxa" w:w="3135"/>
          </w:tcPr>
          <w:p>
            <w:r>
              <w:t>Conhecimento operacional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Etapas (timeline)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T+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Atividade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Output</w:t>
            </w:r>
          </w:p>
        </w:tc>
      </w:tr>
      <w:tr>
        <w:tc>
          <w:tcPr>
            <w:tcW w:type="dxa" w:w="2351"/>
          </w:tcPr>
          <w:p>
            <w:r>
              <w:t>T+0</w:t>
            </w:r>
          </w:p>
        </w:tc>
        <w:tc>
          <w:tcPr>
            <w:tcW w:type="dxa" w:w="2351"/>
          </w:tcPr>
          <w:p>
            <w:r>
              <w:t>Deteção (auto ou humana)</w:t>
            </w:r>
          </w:p>
        </w:tc>
        <w:tc>
          <w:tcPr>
            <w:tcW w:type="dxa" w:w="2351"/>
          </w:tcPr>
          <w:p>
            <w:r>
              <w:t>SOC ou Owner</w:t>
            </w:r>
          </w:p>
        </w:tc>
        <w:tc>
          <w:tcPr>
            <w:tcW w:type="dxa" w:w="2351"/>
          </w:tcPr>
          <w:p>
            <w:r>
              <w:t>Triagem inicial</w:t>
            </w:r>
          </w:p>
        </w:tc>
      </w:tr>
      <w:tr>
        <w:tc>
          <w:tcPr>
            <w:tcW w:type="dxa" w:w="2351"/>
          </w:tcPr>
          <w:p>
            <w:r>
              <w:t>T+15min</w:t>
            </w:r>
          </w:p>
        </w:tc>
        <w:tc>
          <w:tcPr>
            <w:tcW w:type="dxa" w:w="2351"/>
          </w:tcPr>
          <w:p>
            <w:r>
              <w:t>Notificação interna (#incidente-critico Slack)</w:t>
            </w:r>
          </w:p>
        </w:tc>
        <w:tc>
          <w:tcPr>
            <w:tcW w:type="dxa" w:w="2351"/>
          </w:tcPr>
          <w:p>
            <w:r>
              <w:t>SOC</w:t>
            </w:r>
          </w:p>
        </w:tc>
        <w:tc>
          <w:tcPr>
            <w:tcW w:type="dxa" w:w="2351"/>
          </w:tcPr>
          <w:p>
            <w:r>
              <w:t>CRT convocada</w:t>
            </w:r>
          </w:p>
        </w:tc>
      </w:tr>
      <w:tr>
        <w:tc>
          <w:tcPr>
            <w:tcW w:type="dxa" w:w="2351"/>
          </w:tcPr>
          <w:p>
            <w:r>
              <w:t>T+30min</w:t>
            </w:r>
          </w:p>
        </w:tc>
        <w:tc>
          <w:tcPr>
            <w:tcW w:type="dxa" w:w="2351"/>
          </w:tcPr>
          <w:p>
            <w:r>
              <w:t>Avaliação preliminar - É Art. 73?</w:t>
            </w:r>
          </w:p>
        </w:tc>
        <w:tc>
          <w:tcPr>
            <w:tcW w:type="dxa" w:w="2351"/>
          </w:tcPr>
          <w:p>
            <w:r>
              <w:t>IC</w:t>
            </w:r>
          </w:p>
        </w:tc>
        <w:tc>
          <w:tcPr>
            <w:tcW w:type="dxa" w:w="2351"/>
          </w:tcPr>
          <w:p>
            <w:r>
              <w:t>Decisão "go/no-go" notificação</w:t>
            </w:r>
          </w:p>
        </w:tc>
      </w:tr>
      <w:tr>
        <w:tc>
          <w:tcPr>
            <w:tcW w:type="dxa" w:w="2351"/>
          </w:tcPr>
          <w:p>
            <w:r>
              <w:t>T+1h</w:t>
            </w:r>
          </w:p>
        </w:tc>
        <w:tc>
          <w:tcPr>
            <w:tcW w:type="dxa" w:w="2351"/>
          </w:tcPr>
          <w:p>
            <w:r>
              <w:t>Contenção: rollback, suspensão, isolamento</w:t>
            </w:r>
          </w:p>
        </w:tc>
        <w:tc>
          <w:tcPr>
            <w:tcW w:type="dxa" w:w="2351"/>
          </w:tcPr>
          <w:p>
            <w:r>
              <w:t>CTO + CISO</w:t>
            </w:r>
          </w:p>
        </w:tc>
        <w:tc>
          <w:tcPr>
            <w:tcW w:type="dxa" w:w="2351"/>
          </w:tcPr>
          <w:p>
            <w:r>
              <w:t>Sistema estabilizado</w:t>
            </w:r>
          </w:p>
        </w:tc>
      </w:tr>
      <w:tr>
        <w:tc>
          <w:tcPr>
            <w:tcW w:type="dxa" w:w="2351"/>
          </w:tcPr>
          <w:p>
            <w:r>
              <w:t>T+2h</w:t>
            </w:r>
          </w:p>
        </w:tc>
        <w:tc>
          <w:tcPr>
            <w:tcW w:type="dxa" w:w="2351"/>
          </w:tcPr>
          <w:p>
            <w:r>
              <w:t>Comunicação inicial a stakeholders chave</w:t>
            </w:r>
          </w:p>
        </w:tc>
        <w:tc>
          <w:tcPr>
            <w:tcW w:type="dxa" w:w="2351"/>
          </w:tcPr>
          <w:p>
            <w:r>
              <w:t>CEO</w:t>
            </w:r>
          </w:p>
        </w:tc>
        <w:tc>
          <w:tcPr>
            <w:tcW w:type="dxa" w:w="2351"/>
          </w:tcPr>
          <w:p>
            <w:r>
              <w:t>MoH se SNS, parceiros</w:t>
            </w:r>
          </w:p>
        </w:tc>
      </w:tr>
      <w:tr>
        <w:tc>
          <w:tcPr>
            <w:tcW w:type="dxa" w:w="2351"/>
          </w:tcPr>
          <w:p>
            <w:r>
              <w:t>T+4h</w:t>
            </w:r>
          </w:p>
        </w:tc>
        <w:tc>
          <w:tcPr>
            <w:tcW w:type="dxa" w:w="2351"/>
          </w:tcPr>
          <w:p>
            <w:r>
              <w:t>Análise root cause preliminar</w:t>
            </w:r>
          </w:p>
        </w:tc>
        <w:tc>
          <w:tcPr>
            <w:tcW w:type="dxa" w:w="2351"/>
          </w:tcPr>
          <w:p>
            <w:r>
              <w:t>CTO + Owner</w:t>
            </w:r>
          </w:p>
        </w:tc>
        <w:tc>
          <w:tcPr>
            <w:tcW w:type="dxa" w:w="2351"/>
          </w:tcPr>
          <w:p>
            <w:r>
              <w:t>Hipótese inicial</w:t>
            </w:r>
          </w:p>
        </w:tc>
      </w:tr>
      <w:tr>
        <w:tc>
          <w:tcPr>
            <w:tcW w:type="dxa" w:w="2351"/>
          </w:tcPr>
          <w:p>
            <w:r>
              <w:t>T+24h</w:t>
            </w:r>
          </w:p>
        </w:tc>
        <w:tc>
          <w:tcPr>
            <w:tcW w:type="dxa" w:w="2351"/>
          </w:tcPr>
          <w:p>
            <w:r>
              <w:t>Notificação Art. 73 - 24h</w:t>
            </w:r>
          </w:p>
        </w:tc>
        <w:tc>
          <w:tcPr>
            <w:tcW w:type="dxa" w:w="2351"/>
          </w:tcPr>
          <w:p>
            <w:r>
              <w:t>IC + Compliance</w:t>
            </w:r>
          </w:p>
        </w:tc>
        <w:tc>
          <w:tcPr>
            <w:tcW w:type="dxa" w:w="2351"/>
          </w:tcPr>
          <w:p>
            <w:r>
              <w:t>Submetido ANACOM</w:t>
            </w:r>
          </w:p>
        </w:tc>
      </w:tr>
      <w:tr>
        <w:tc>
          <w:tcPr>
            <w:tcW w:type="dxa" w:w="2351"/>
          </w:tcPr>
          <w:p>
            <w:r>
              <w:t>T+72h</w:t>
            </w:r>
          </w:p>
        </w:tc>
        <w:tc>
          <w:tcPr>
            <w:tcW w:type="dxa" w:w="2351"/>
          </w:tcPr>
          <w:p>
            <w:r>
              <w:t>Atualização Art. 73 - 72h</w:t>
            </w:r>
          </w:p>
        </w:tc>
        <w:tc>
          <w:tcPr>
            <w:tcW w:type="dxa" w:w="2351"/>
          </w:tcPr>
          <w:p>
            <w:r>
              <w:t>IC</w:t>
            </w:r>
          </w:p>
        </w:tc>
        <w:tc>
          <w:tcPr>
            <w:tcW w:type="dxa" w:w="2351"/>
          </w:tcPr>
          <w:p>
            <w:r>
              <w:t>Submetido ANACOM</w:t>
            </w:r>
          </w:p>
        </w:tc>
      </w:tr>
      <w:tr>
        <w:tc>
          <w:tcPr>
            <w:tcW w:type="dxa" w:w="2351"/>
          </w:tcPr>
          <w:p>
            <w:r>
              <w:t>T+30d</w:t>
            </w:r>
          </w:p>
        </w:tc>
        <w:tc>
          <w:tcPr>
            <w:tcW w:type="dxa" w:w="2351"/>
          </w:tcPr>
          <w:p>
            <w:r>
              <w:t>Relatório final</w:t>
            </w:r>
          </w:p>
        </w:tc>
        <w:tc>
          <w:tcPr>
            <w:tcW w:type="dxa" w:w="2351"/>
          </w:tcPr>
          <w:p>
            <w:r>
              <w:t>IC + CEO</w:t>
            </w:r>
          </w:p>
        </w:tc>
        <w:tc>
          <w:tcPr>
            <w:tcW w:type="dxa" w:w="2351"/>
          </w:tcPr>
          <w:p>
            <w:r>
              <w:t>Submetido ANACOM</w:t>
            </w:r>
          </w:p>
        </w:tc>
      </w:tr>
      <w:tr>
        <w:tc>
          <w:tcPr>
            <w:tcW w:type="dxa" w:w="2351"/>
          </w:tcPr>
          <w:p>
            <w:r>
              <w:t>T+30d</w:t>
            </w:r>
          </w:p>
        </w:tc>
        <w:tc>
          <w:tcPr>
            <w:tcW w:type="dxa" w:w="2351"/>
          </w:tcPr>
          <w:p>
            <w:r>
              <w:t>Lições aprendidas + plano corretivo</w:t>
            </w:r>
          </w:p>
        </w:tc>
        <w:tc>
          <w:tcPr>
            <w:tcW w:type="dxa" w:w="2351"/>
          </w:tcPr>
          <w:p>
            <w:r>
              <w:t>IC + Comité IA</w:t>
            </w:r>
          </w:p>
        </w:tc>
        <w:tc>
          <w:tcPr>
            <w:tcW w:type="dxa" w:w="2351"/>
          </w:tcPr>
          <w:p>
            <w:r>
              <w:t>Atualizar PGR-IA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Critérios de escalação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Nível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Critério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Ação</w:t>
            </w:r>
          </w:p>
        </w:tc>
      </w:tr>
      <w:tr>
        <w:tc>
          <w:tcPr>
            <w:tcW w:type="dxa" w:w="3135"/>
          </w:tcPr>
          <w:p>
            <w:r>
              <w:t>Verde</w:t>
            </w:r>
          </w:p>
        </w:tc>
        <w:tc>
          <w:tcPr>
            <w:tcW w:type="dxa" w:w="3135"/>
          </w:tcPr>
          <w:p>
            <w:r>
              <w:t>Sem dano + resolvido em &lt;1h</w:t>
            </w:r>
          </w:p>
        </w:tc>
        <w:tc>
          <w:tcPr>
            <w:tcW w:type="dxa" w:w="3135"/>
          </w:tcPr>
          <w:p>
            <w:r>
              <w:t>Não escalar - log interno</w:t>
            </w:r>
          </w:p>
        </w:tc>
      </w:tr>
      <w:tr>
        <w:tc>
          <w:tcPr>
            <w:tcW w:type="dxa" w:w="3135"/>
          </w:tcPr>
          <w:p>
            <w:r>
              <w:t>Amarelo</w:t>
            </w:r>
          </w:p>
        </w:tc>
        <w:tc>
          <w:tcPr>
            <w:tcW w:type="dxa" w:w="3135"/>
          </w:tcPr>
          <w:p>
            <w:r>
              <w:t>Dano potencial detetado, contenção iniciada</w:t>
            </w:r>
          </w:p>
        </w:tc>
        <w:tc>
          <w:tcPr>
            <w:tcW w:type="dxa" w:w="3135"/>
          </w:tcPr>
          <w:p>
            <w:r>
              <w:t>Notificar IC + Owner; avaliar Art. 73</w:t>
            </w:r>
          </w:p>
        </w:tc>
      </w:tr>
      <w:tr>
        <w:tc>
          <w:tcPr>
            <w:tcW w:type="dxa" w:w="3135"/>
          </w:tcPr>
          <w:p>
            <w:r>
              <w:t>Laranja</w:t>
            </w:r>
          </w:p>
        </w:tc>
        <w:tc>
          <w:tcPr>
            <w:tcW w:type="dxa" w:w="3135"/>
          </w:tcPr>
          <w:p>
            <w:r>
              <w:t>Dano potencial e/ou &gt;100 pessoas potencialmente afetadas</w:t>
            </w:r>
          </w:p>
        </w:tc>
        <w:tc>
          <w:tcPr>
            <w:tcW w:type="dxa" w:w="3135"/>
          </w:tcPr>
          <w:p>
            <w:r>
              <w:t>Comité IA convocado; Art. 73 quase certa</w:t>
            </w:r>
          </w:p>
        </w:tc>
      </w:tr>
      <w:tr>
        <w:tc>
          <w:tcPr>
            <w:tcW w:type="dxa" w:w="3135"/>
          </w:tcPr>
          <w:p>
            <w:r>
              <w:t>Vermelho</w:t>
            </w:r>
          </w:p>
        </w:tc>
        <w:tc>
          <w:tcPr>
            <w:tcW w:type="dxa" w:w="3135"/>
          </w:tcPr>
          <w:p>
            <w:r>
              <w:t>Dano confirmado / vida em risco / &gt;1000 afetados</w:t>
            </w:r>
          </w:p>
        </w:tc>
        <w:tc>
          <w:tcPr>
            <w:tcW w:type="dxa" w:w="3135"/>
          </w:tcPr>
          <w:p>
            <w:r>
              <w:t>CEO + Conselho Administração; comunicação pública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Comunicação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ANACOM (autoridade)</w:t>
            </w:r>
          </w:p>
        </w:tc>
        <w:tc>
          <w:tcPr>
            <w:tcW w:type="dxa" w:w="6236"/>
          </w:tcPr>
          <w:p>
            <w:r>
              <w:t>ai-act@anacom.pt + telefone +351 21 721 1000 (após auto-confirmação)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CNCS (paralelo, NIS2)</w:t>
            </w:r>
          </w:p>
        </w:tc>
        <w:tc>
          <w:tcPr>
            <w:tcW w:type="dxa" w:w="6236"/>
          </w:tcPr>
          <w:p>
            <w:r>
              <w:t>incidentes@cncs.gov.pt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Ministério da Saúde</w:t>
            </w:r>
          </w:p>
        </w:tc>
        <w:tc>
          <w:tcPr>
            <w:tcW w:type="dxa" w:w="6236"/>
          </w:tcPr>
          <w:p>
            <w:r>
              <w:t>Apenas se SNS - através do CEO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Imprensa</w:t>
            </w:r>
          </w:p>
        </w:tc>
        <w:tc>
          <w:tcPr>
            <w:tcW w:type="dxa" w:w="6236"/>
          </w:tcPr>
          <w:p>
            <w:r>
              <w:t>Apenas via porta-voz designado (CEO ou Diretor Comunicação)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Pessoas afetadas (Art. 26(11))</w:t>
            </w:r>
          </w:p>
        </w:tc>
        <w:tc>
          <w:tcPr>
            <w:tcW w:type="dxa" w:w="6236"/>
          </w:tcPr>
          <w:p>
            <w:r>
              <w:t>Comunicação direta em prazo razoável + explicação concisa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Drills (simulações)</w:t>
      </w:r>
    </w:p>
    <w:p>
      <w:r>
        <w:rPr>
          <w:sz w:val="22"/>
        </w:rPr>
        <w:t>Trimestrais. Última: 2026-02-12 (cenário: viés de género detetado em HR-Match). Próxima: 2026-Q3.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