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Cibersegurança em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POL-SEC-IA-001 v1.0 - Conforme Art. 15 do AI Act + ISO 27001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15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Cibersegurança em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Política institucional. Alinhada com NIS2 (DL 125/2025) onde aplicável.</w:t>
      </w:r>
    </w:p>
    <w:p>
      <w:pPr>
        <w:pStyle w:val="Heading2"/>
      </w:pPr>
      <w:r>
        <w:rPr>
          <w:rFonts w:ascii="Calibri" w:hAnsi="Calibri"/>
          <w:color w:val="0F172A"/>
        </w:rPr>
        <w:t>1. Princípios</w:t>
      </w:r>
    </w:p>
    <w:p>
      <w:pPr>
        <w:pStyle w:val="ListBullet"/>
        <w:ind w:left="283"/>
      </w:pPr>
      <w:r>
        <w:rPr>
          <w:sz w:val="21"/>
        </w:rPr>
        <w:t>☑  Defesa em profundidade - múltiplas camadas</w:t>
      </w:r>
    </w:p>
    <w:p>
      <w:pPr>
        <w:pStyle w:val="ListBullet"/>
        <w:ind w:left="283"/>
      </w:pPr>
      <w:r>
        <w:rPr>
          <w:sz w:val="21"/>
        </w:rPr>
        <w:t>☑  Privilégio mínimo (least privilege) - RBAC</w:t>
      </w:r>
    </w:p>
    <w:p>
      <w:pPr>
        <w:pStyle w:val="ListBullet"/>
        <w:ind w:left="283"/>
      </w:pPr>
      <w:r>
        <w:rPr>
          <w:sz w:val="21"/>
        </w:rPr>
        <w:t>☑  Segregação de redes (treino vs inferência vs admin)</w:t>
      </w:r>
    </w:p>
    <w:p>
      <w:pPr>
        <w:pStyle w:val="ListBullet"/>
        <w:ind w:left="283"/>
      </w:pPr>
      <w:r>
        <w:rPr>
          <w:sz w:val="21"/>
        </w:rPr>
        <w:t>☑  Encriptação em repouso e em trânsito</w:t>
      </w:r>
    </w:p>
    <w:p>
      <w:pPr>
        <w:pStyle w:val="ListBullet"/>
        <w:ind w:left="283"/>
      </w:pPr>
      <w:r>
        <w:rPr>
          <w:sz w:val="21"/>
        </w:rPr>
        <w:t>☑  Monitorização contínua e logging (Art. 12)</w:t>
      </w:r>
    </w:p>
    <w:p>
      <w:pPr>
        <w:pStyle w:val="ListBullet"/>
        <w:ind w:left="283"/>
      </w:pPr>
      <w:r>
        <w:rPr>
          <w:sz w:val="21"/>
        </w:rPr>
        <w:t>☑  Resposta rápida a incidentes (SOC 24/7)</w:t>
      </w:r>
    </w:p>
    <w:p>
      <w:pPr>
        <w:pStyle w:val="Heading2"/>
      </w:pPr>
      <w:r>
        <w:rPr>
          <w:rFonts w:ascii="Calibri" w:hAnsi="Calibri"/>
          <w:color w:val="0F172A"/>
        </w:rPr>
        <w:t>2. Ameaças específicas a IA - controlos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Ameaça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Controlo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Métrica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Estado</w:t>
            </w:r>
          </w:p>
        </w:tc>
      </w:tr>
      <w:tr>
        <w:tc>
          <w:tcPr>
            <w:tcW w:type="dxa" w:w="2351"/>
          </w:tcPr>
          <w:p>
            <w:r>
              <w:t>Adversarial inputs (FGSM, PGD)</w:t>
            </w:r>
          </w:p>
        </w:tc>
        <w:tc>
          <w:tcPr>
            <w:tcW w:type="dxa" w:w="2351"/>
          </w:tcPr>
          <w:p>
            <w:r>
              <w:t>Adversarial training; deteção de input anómalo (&gt;3σ)</w:t>
            </w:r>
          </w:p>
        </w:tc>
        <w:tc>
          <w:tcPr>
            <w:tcW w:type="dxa" w:w="2351"/>
          </w:tcPr>
          <w:p>
            <w:r>
              <w:t>Drop ≤5%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  <w:tr>
        <w:tc>
          <w:tcPr>
            <w:tcW w:type="dxa" w:w="2351"/>
          </w:tcPr>
          <w:p>
            <w:r>
              <w:t>Data poisoning</w:t>
            </w:r>
          </w:p>
        </w:tc>
        <w:tc>
          <w:tcPr>
            <w:tcW w:type="dxa" w:w="2351"/>
          </w:tcPr>
          <w:p>
            <w:r>
              <w:t>Data lineage; assinatura digital de datasets; auditoria fontes</w:t>
            </w:r>
          </w:p>
        </w:tc>
        <w:tc>
          <w:tcPr>
            <w:tcW w:type="dxa" w:w="2351"/>
          </w:tcPr>
          <w:p>
            <w:r>
              <w:t>Deteção &lt;24h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  <w:tr>
        <w:tc>
          <w:tcPr>
            <w:tcW w:type="dxa" w:w="2351"/>
          </w:tcPr>
          <w:p>
            <w:r>
              <w:t>Model extraction</w:t>
            </w:r>
          </w:p>
        </w:tc>
        <w:tc>
          <w:tcPr>
            <w:tcW w:type="dxa" w:w="2351"/>
          </w:tcPr>
          <w:p>
            <w:r>
              <w:t>Rate limiting; monitorização de queries; watermarking modelo</w:t>
            </w:r>
          </w:p>
        </w:tc>
        <w:tc>
          <w:tcPr>
            <w:tcW w:type="dxa" w:w="2351"/>
          </w:tcPr>
          <w:p>
            <w:r>
              <w:t>Reduzir 90% acesso anómalo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  <w:tr>
        <w:tc>
          <w:tcPr>
            <w:tcW w:type="dxa" w:w="2351"/>
          </w:tcPr>
          <w:p>
            <w:r>
              <w:t>Membership inference</w:t>
            </w:r>
          </w:p>
        </w:tc>
        <w:tc>
          <w:tcPr>
            <w:tcW w:type="dxa" w:w="2351"/>
          </w:tcPr>
          <w:p>
            <w:r>
              <w:t>Differential privacy (ε=8.0) onde aplicável; minimização de outputs</w:t>
            </w:r>
          </w:p>
        </w:tc>
        <w:tc>
          <w:tcPr>
            <w:tcW w:type="dxa" w:w="2351"/>
          </w:tcPr>
          <w:p>
            <w:r>
              <w:t>PII leakage = 0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  <w:tr>
        <w:tc>
          <w:tcPr>
            <w:tcW w:type="dxa" w:w="2351"/>
          </w:tcPr>
          <w:p>
            <w:r>
              <w:t>Prompt injection (LLM)</w:t>
            </w:r>
          </w:p>
        </w:tc>
        <w:tc>
          <w:tcPr>
            <w:tcW w:type="dxa" w:w="2351"/>
          </w:tcPr>
          <w:p>
            <w:r>
              <w:t>System prompts robustos; sanitization input; outputs em sandbox</w:t>
            </w:r>
          </w:p>
        </w:tc>
        <w:tc>
          <w:tcPr>
            <w:tcW w:type="dxa" w:w="2351"/>
          </w:tcPr>
          <w:p>
            <w:r>
              <w:t>Bloqueio &gt;95% ataques</w:t>
            </w:r>
          </w:p>
        </w:tc>
        <w:tc>
          <w:tcPr>
            <w:tcW w:type="dxa" w:w="2351"/>
          </w:tcPr>
          <w:p>
            <w:r>
              <w:t>Em curso</w:t>
            </w:r>
          </w:p>
        </w:tc>
      </w:tr>
      <w:tr>
        <w:tc>
          <w:tcPr>
            <w:tcW w:type="dxa" w:w="2351"/>
          </w:tcPr>
          <w:p>
            <w:r>
              <w:t>Backdoor / trojan</w:t>
            </w:r>
          </w:p>
        </w:tc>
        <w:tc>
          <w:tcPr>
            <w:tcW w:type="dxa" w:w="2351"/>
          </w:tcPr>
          <w:p>
            <w:r>
              <w:t>Auditoria pesos; testes em datasets de gatilho conhecidos</w:t>
            </w:r>
          </w:p>
        </w:tc>
        <w:tc>
          <w:tcPr>
            <w:tcW w:type="dxa" w:w="2351"/>
          </w:tcPr>
          <w:p>
            <w:r>
              <w:t>0 backdoors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  <w:tr>
        <w:tc>
          <w:tcPr>
            <w:tcW w:type="dxa" w:w="2351"/>
          </w:tcPr>
          <w:p>
            <w:r>
              <w:t>Supply chain attack</w:t>
            </w:r>
          </w:p>
        </w:tc>
        <w:tc>
          <w:tcPr>
            <w:tcW w:type="dxa" w:w="2351"/>
          </w:tcPr>
          <w:p>
            <w:r>
              <w:t>Dependency scanning (Snyk); SBOM; vendor risk assessment</w:t>
            </w:r>
          </w:p>
        </w:tc>
        <w:tc>
          <w:tcPr>
            <w:tcW w:type="dxa" w:w="2351"/>
          </w:tcPr>
          <w:p>
            <w:r>
              <w:t>0 incidentes</w:t>
            </w:r>
          </w:p>
        </w:tc>
        <w:tc>
          <w:tcPr>
            <w:tcW w:type="dxa" w:w="2351"/>
          </w:tcPr>
          <w:p>
            <w:r>
              <w:t>✓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Penetration testing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Frequência</w:t>
            </w:r>
          </w:p>
        </w:tc>
        <w:tc>
          <w:tcPr>
            <w:tcW w:type="dxa" w:w="6236"/>
          </w:tcPr>
          <w:p>
            <w:r>
              <w:t>Anual (KPMG) + após cada major release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</w:t>
            </w:r>
          </w:p>
        </w:tc>
        <w:tc>
          <w:tcPr>
            <w:tcW w:type="dxa" w:w="6236"/>
          </w:tcPr>
          <w:p>
            <w:r>
              <w:t>2026-03 - KPMG: 0 críticas, 2 médias (corrigidas)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</w:t>
            </w:r>
          </w:p>
        </w:tc>
        <w:tc>
          <w:tcPr>
            <w:tcW w:type="dxa" w:w="6236"/>
          </w:tcPr>
          <w:p>
            <w:r>
              <w:t>2027-03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CVSS gating</w:t>
            </w:r>
          </w:p>
        </w:tc>
        <w:tc>
          <w:tcPr>
            <w:tcW w:type="dxa" w:w="6236"/>
          </w:tcPr>
          <w:p>
            <w:r>
              <w:t>&gt;=7.0 bloqueia release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Incident response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SOC 24/7</w:t>
            </w:r>
          </w:p>
        </w:tc>
        <w:tc>
          <w:tcPr>
            <w:tcW w:type="dxa" w:w="6236"/>
          </w:tcPr>
          <w:p>
            <w:r>
              <w:t>Coordenado por Ana Costa (CISO)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Tempo de deteção</w:t>
            </w:r>
          </w:p>
        </w:tc>
        <w:tc>
          <w:tcPr>
            <w:tcW w:type="dxa" w:w="6236"/>
          </w:tcPr>
          <w:p>
            <w:r>
              <w:t>Mediano: 4 minutos (SIEM Splunk)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Tempo de contenção</w:t>
            </w:r>
          </w:p>
        </w:tc>
        <w:tc>
          <w:tcPr>
            <w:tcW w:type="dxa" w:w="6236"/>
          </w:tcPr>
          <w:p>
            <w:r>
              <w:t>&lt; 1h para críticos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Playbooks</w:t>
            </w:r>
          </w:p>
        </w:tc>
        <w:tc>
          <w:tcPr>
            <w:tcW w:type="dxa" w:w="6236"/>
          </w:tcPr>
          <w:p>
            <w:r>
              <w:t>Disponíveis para: ransomware, data breach, supply chain, prompt injection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Conformidade cruzada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AI Act (Art. 15)</w:t>
            </w:r>
          </w:p>
        </w:tc>
        <w:tc>
          <w:tcPr>
            <w:tcW w:type="dxa" w:w="6236"/>
          </w:tcPr>
          <w:p>
            <w:r>
              <w:t>Conforme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ISO 27001:2022</w:t>
            </w:r>
          </w:p>
        </w:tc>
        <w:tc>
          <w:tcPr>
            <w:tcW w:type="dxa" w:w="6236"/>
          </w:tcPr>
          <w:p>
            <w:r>
              <w:t>Certificada (cert TÜV 2025-09)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NIS2 (DL 125/2025)</w:t>
            </w:r>
          </w:p>
        </w:tc>
        <w:tc>
          <w:tcPr>
            <w:tcW w:type="dxa" w:w="6236"/>
          </w:tcPr>
          <w:p>
            <w:r>
              <w:t>Conforme - TechMed identificada como entidade essencial setor saúde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RGPD</w:t>
            </w:r>
          </w:p>
        </w:tc>
        <w:tc>
          <w:tcPr>
            <w:tcW w:type="dxa" w:w="6236"/>
          </w:tcPr>
          <w:p>
            <w:r>
              <w:t>Conforme - DPO ativo, AIPDs realizadas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