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Direitos de Autor para GPAI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POL-COPY-001 v1.0 - Conforme Art. 53(1)(c) do AI Act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53(1)(c)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Direitos de Autor para GPAI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aplicável ao desenvolvimento de modelos GPAI (incluindo TM-Med-7B futuro).</w:t>
      </w:r>
    </w:p>
    <w:p>
      <w:pPr>
        <w:pStyle w:val="Heading2"/>
      </w:pPr>
      <w:r>
        <w:rPr>
          <w:rFonts w:ascii="Calibri" w:hAnsi="Calibri"/>
          <w:color w:val="0F172A"/>
        </w:rPr>
        <w:t>1. Princípios</w:t>
      </w:r>
    </w:p>
    <w:p>
      <w:r>
        <w:rPr>
          <w:sz w:val="22"/>
        </w:rPr>
        <w:t>A TechMed compromete-se a respeitar integralmente o direito de autor europeu, em particular o Art. 4 da Diretiva 2019/790 (DSM Directive - text and data mining exception) e o Art. 53(1)(c) do AI Act.</w:t>
      </w:r>
    </w:p>
    <w:p>
      <w:pPr>
        <w:pStyle w:val="Heading2"/>
      </w:pPr>
      <w:r>
        <w:rPr>
          <w:rFonts w:ascii="Calibri" w:hAnsi="Calibri"/>
          <w:color w:val="0F172A"/>
        </w:rPr>
        <w:t>2. Práticas implementadas</w:t>
      </w:r>
    </w:p>
    <w:p>
      <w:pPr>
        <w:pStyle w:val="ListBullet"/>
        <w:ind w:left="283"/>
      </w:pPr>
      <w:r>
        <w:rPr>
          <w:sz w:val="21"/>
        </w:rPr>
        <w:t>☑  Respeito de robots.txt em todo o web scraping</w:t>
      </w:r>
    </w:p>
    <w:p>
      <w:pPr>
        <w:pStyle w:val="ListBullet"/>
        <w:ind w:left="283"/>
      </w:pPr>
      <w:r>
        <w:rPr>
          <w:sz w:val="21"/>
        </w:rPr>
        <w:t>☑  Honra de meta tags (X-Robots-Tag, ai-disallow, etc.)</w:t>
      </w:r>
    </w:p>
    <w:p>
      <w:pPr>
        <w:pStyle w:val="ListBullet"/>
        <w:ind w:left="283"/>
      </w:pPr>
      <w:r>
        <w:rPr>
          <w:sz w:val="21"/>
        </w:rPr>
        <w:t>☑  Respeito de pedidos formais de opt-out (canal: opt-out@techmed-solutions.pt)</w:t>
      </w:r>
    </w:p>
    <w:p>
      <w:pPr>
        <w:pStyle w:val="ListBullet"/>
        <w:ind w:left="283"/>
      </w:pPr>
      <w:r>
        <w:rPr>
          <w:sz w:val="21"/>
        </w:rPr>
        <w:t>☑  Filtros de licença: rejeitar conteúdo NC, GPL-only, proprietário</w:t>
      </w:r>
    </w:p>
    <w:p>
      <w:pPr>
        <w:pStyle w:val="ListBullet"/>
        <w:ind w:left="283"/>
      </w:pPr>
      <w:r>
        <w:rPr>
          <w:sz w:val="21"/>
        </w:rPr>
        <w:t>☑  Preferência por conteúdo CC-BY, CC0, domínio público</w:t>
      </w:r>
    </w:p>
    <w:p>
      <w:pPr>
        <w:pStyle w:val="ListBullet"/>
        <w:ind w:left="283"/>
      </w:pPr>
      <w:r>
        <w:rPr>
          <w:sz w:val="21"/>
        </w:rPr>
        <w:t>☑  DPA com fontes de dados clínicos (não-públicas)</w:t>
      </w:r>
    </w:p>
    <w:p>
      <w:pPr>
        <w:pStyle w:val="ListBullet"/>
        <w:ind w:left="283"/>
      </w:pPr>
      <w:r>
        <w:rPr>
          <w:sz w:val="21"/>
        </w:rPr>
        <w:t>☑  Lista pública de fontes excluídas (transparência)</w:t>
      </w:r>
    </w:p>
    <w:p>
      <w:pPr>
        <w:pStyle w:val="ListBullet"/>
        <w:ind w:left="283"/>
      </w:pPr>
      <w:r>
        <w:rPr>
          <w:sz w:val="21"/>
        </w:rPr>
        <w:t>☑  Não reprodução textual de conteúdo protegido nos outputs (filtro N-gram)</w:t>
      </w:r>
    </w:p>
    <w:p>
      <w:pPr>
        <w:pStyle w:val="Heading2"/>
      </w:pPr>
      <w:r>
        <w:rPr>
          <w:rFonts w:ascii="Calibri" w:hAnsi="Calibri"/>
          <w:color w:val="0F172A"/>
        </w:rPr>
        <w:t>3. Processo de pedido de opt-out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SLA</w:t>
            </w:r>
          </w:p>
        </w:tc>
      </w:tr>
      <w:tr>
        <w:tc>
          <w:tcPr>
            <w:tcW w:type="dxa" w:w="3135"/>
          </w:tcPr>
          <w:p>
            <w:r>
              <w:t>1</w:t>
            </w:r>
          </w:p>
        </w:tc>
        <w:tc>
          <w:tcPr>
            <w:tcW w:type="dxa" w:w="3135"/>
          </w:tcPr>
          <w:p>
            <w:r>
              <w:t>Receção do pedido (email opt-out@ ou meta tag)</w:t>
            </w:r>
          </w:p>
        </w:tc>
        <w:tc>
          <w:tcPr>
            <w:tcW w:type="dxa" w:w="3135"/>
          </w:tcPr>
          <w:p>
            <w:r>
              <w:t>Automático</w:t>
            </w:r>
          </w:p>
        </w:tc>
      </w:tr>
      <w:tr>
        <w:tc>
          <w:tcPr>
            <w:tcW w:type="dxa" w:w="3135"/>
          </w:tcPr>
          <w:p>
            <w:r>
              <w:t>2</w:t>
            </w:r>
          </w:p>
        </w:tc>
        <w:tc>
          <w:tcPr>
            <w:tcW w:type="dxa" w:w="3135"/>
          </w:tcPr>
          <w:p>
            <w:r>
              <w:t>Validação do solicitante (titular dos direitos)</w:t>
            </w:r>
          </w:p>
        </w:tc>
        <w:tc>
          <w:tcPr>
            <w:tcW w:type="dxa" w:w="3135"/>
          </w:tcPr>
          <w:p>
            <w:r>
              <w:t>5 dias úteis</w:t>
            </w:r>
          </w:p>
        </w:tc>
      </w:tr>
      <w:tr>
        <w:tc>
          <w:tcPr>
            <w:tcW w:type="dxa" w:w="3135"/>
          </w:tcPr>
          <w:p>
            <w:r>
              <w:t>3</w:t>
            </w:r>
          </w:p>
        </w:tc>
        <w:tc>
          <w:tcPr>
            <w:tcW w:type="dxa" w:w="3135"/>
          </w:tcPr>
          <w:p>
            <w:r>
              <w:t>Identificação de URLs/conteúdos abrangidos</w:t>
            </w:r>
          </w:p>
        </w:tc>
        <w:tc>
          <w:tcPr>
            <w:tcW w:type="dxa" w:w="3135"/>
          </w:tcPr>
          <w:p>
            <w:r>
              <w:t>5 dias úteis</w:t>
            </w:r>
          </w:p>
        </w:tc>
      </w:tr>
      <w:tr>
        <w:tc>
          <w:tcPr>
            <w:tcW w:type="dxa" w:w="3135"/>
          </w:tcPr>
          <w:p>
            <w:r>
              <w:t>4</w:t>
            </w:r>
          </w:p>
        </w:tc>
        <w:tc>
          <w:tcPr>
            <w:tcW w:type="dxa" w:w="3135"/>
          </w:tcPr>
          <w:p>
            <w:r>
              <w:t>Adição à blocklist de scraping</w:t>
            </w:r>
          </w:p>
        </w:tc>
        <w:tc>
          <w:tcPr>
            <w:tcW w:type="dxa" w:w="3135"/>
          </w:tcPr>
          <w:p>
            <w:r>
              <w:t>Imediata</w:t>
            </w:r>
          </w:p>
        </w:tc>
      </w:tr>
      <w:tr>
        <w:tc>
          <w:tcPr>
            <w:tcW w:type="dxa" w:w="3135"/>
          </w:tcPr>
          <w:p>
            <w:r>
              <w:t>5</w:t>
            </w:r>
          </w:p>
        </w:tc>
        <w:tc>
          <w:tcPr>
            <w:tcW w:type="dxa" w:w="3135"/>
          </w:tcPr>
          <w:p>
            <w:r>
              <w:t>Remoção de datasets já recolhidos (próximo retreino)</w:t>
            </w:r>
          </w:p>
        </w:tc>
        <w:tc>
          <w:tcPr>
            <w:tcW w:type="dxa" w:w="3135"/>
          </w:tcPr>
          <w:p>
            <w:r>
              <w:t>Próximo retreino</w:t>
            </w:r>
          </w:p>
        </w:tc>
      </w:tr>
      <w:tr>
        <w:tc>
          <w:tcPr>
            <w:tcW w:type="dxa" w:w="3135"/>
          </w:tcPr>
          <w:p>
            <w:r>
              <w:t>6</w:t>
            </w:r>
          </w:p>
        </w:tc>
        <w:tc>
          <w:tcPr>
            <w:tcW w:type="dxa" w:w="3135"/>
          </w:tcPr>
          <w:p>
            <w:r>
              <w:t>Confirmação ao solicitante + entrada na lista pública</w:t>
            </w:r>
          </w:p>
        </w:tc>
        <w:tc>
          <w:tcPr>
            <w:tcW w:type="dxa" w:w="3135"/>
          </w:tcPr>
          <w:p>
            <w:r>
              <w:t>15 dias úteis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Lista pública de fontes excluídas</w:t>
      </w:r>
    </w:p>
    <w:p>
      <w:r>
        <w:rPr>
          <w:sz w:val="22"/>
        </w:rPr>
        <w:t>Disponível em www.techmed-solutions.pt/ai/training-optout. Atualizada semanalmente.</w:t>
      </w:r>
    </w:p>
    <w:p>
      <w:pPr>
        <w:pStyle w:val="Heading2"/>
      </w:pPr>
      <w:r>
        <w:rPr>
          <w:rFonts w:ascii="Calibri" w:hAnsi="Calibri"/>
          <w:color w:val="0F172A"/>
        </w:rPr>
        <w:t>5. Reservation of rights</w:t>
      </w:r>
    </w:p>
    <w:p>
      <w:r>
        <w:rPr>
          <w:sz w:val="22"/>
        </w:rPr>
        <w:t>TechMed honra reservas de direitos expressas conforme Art. 4(3) da Directiva (UE) 2019/790, incluindo: meta tags HTML padronizadas, ficheiros TDM Reservation Protocol (TDMRep), assinaturas em sites institucionais.</w:t>
      </w:r>
    </w:p>
    <w:p>
      <w:pPr>
        <w:pStyle w:val="Heading2"/>
      </w:pPr>
      <w:r>
        <w:rPr>
          <w:rFonts w:ascii="Calibri" w:hAnsi="Calibri"/>
          <w:color w:val="0F172A"/>
        </w:rPr>
        <w:t>6. Auditoria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Semestral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</w:t>
            </w:r>
          </w:p>
        </w:tc>
        <w:tc>
          <w:tcPr>
            <w:tcW w:type="dxa" w:w="6236"/>
          </w:tcPr>
          <w:p>
            <w:r>
              <w:t>2026-04: 247 entidades em opt-out, 100% honored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</w:t>
            </w:r>
          </w:p>
        </w:tc>
        <w:tc>
          <w:tcPr>
            <w:tcW w:type="dxa" w:w="6236"/>
          </w:tcPr>
          <w:p>
            <w:r>
              <w:t>2026-10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Reclamações 12m</w:t>
            </w:r>
          </w:p>
        </w:tc>
        <w:tc>
          <w:tcPr>
            <w:tcW w:type="dxa" w:w="6236"/>
          </w:tcPr>
          <w:p>
            <w:r>
              <w:t>0 reclamações formais; 3 pedidos respondidos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