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Política de Documentação e Explicabilidade de Decisões IA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POL-EXP-001 v1.0 - Conforme Art. 13 + Art. 26(11)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13 + 26(11)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Política de Documentação e Explicabilidade de Decisões IA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Política institucional. Inclui exemplos reais para os 3 sistemas TechMed.</w:t>
      </w:r>
    </w:p>
    <w:p>
      <w:pPr>
        <w:pStyle w:val="Heading2"/>
      </w:pPr>
      <w:r>
        <w:rPr>
          <w:rFonts w:ascii="Calibri" w:hAnsi="Calibri"/>
          <w:color w:val="0F172A"/>
        </w:rPr>
        <w:t>1. Níveis de explicabilidade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Nível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O que explica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Como (TechMed)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Base legal</w:t>
            </w:r>
          </w:p>
        </w:tc>
      </w:tr>
      <w:tr>
        <w:tc>
          <w:tcPr>
            <w:tcW w:type="dxa" w:w="2351"/>
          </w:tcPr>
          <w:p>
            <w:r>
              <w:t>Global (modelo)</w:t>
            </w:r>
          </w:p>
        </w:tc>
        <w:tc>
          <w:tcPr>
            <w:tcW w:type="dxa" w:w="2351"/>
          </w:tcPr>
          <w:p>
            <w:r>
              <w:t>Como funciona o sistema em geral</w:t>
            </w:r>
          </w:p>
        </w:tc>
        <w:tc>
          <w:tcPr>
            <w:tcW w:type="dxa" w:w="2351"/>
          </w:tcPr>
          <w:p>
            <w:r>
              <w:t>Documentação técnica + manual</w:t>
            </w:r>
          </w:p>
        </w:tc>
        <w:tc>
          <w:tcPr>
            <w:tcW w:type="dxa" w:w="2351"/>
          </w:tcPr>
          <w:p>
            <w:r>
              <w:t>Art. 13</w:t>
            </w:r>
          </w:p>
        </w:tc>
      </w:tr>
      <w:tr>
        <w:tc>
          <w:tcPr>
            <w:tcW w:type="dxa" w:w="2351"/>
          </w:tcPr>
          <w:p>
            <w:r>
              <w:t>Local (decisão individual)</w:t>
            </w:r>
          </w:p>
        </w:tc>
        <w:tc>
          <w:tcPr>
            <w:tcW w:type="dxa" w:w="2351"/>
          </w:tcPr>
          <w:p>
            <w:r>
              <w:t>Por que esta decisão para esta pessoa</w:t>
            </w:r>
          </w:p>
        </w:tc>
        <w:tc>
          <w:tcPr>
            <w:tcW w:type="dxa" w:w="2351"/>
          </w:tcPr>
          <w:p>
            <w:r>
              <w:t>SHAP top-3 features</w:t>
            </w:r>
          </w:p>
        </w:tc>
        <w:tc>
          <w:tcPr>
            <w:tcW w:type="dxa" w:w="2351"/>
          </w:tcPr>
          <w:p>
            <w:r>
              <w:t>Art. 26(11)</w:t>
            </w:r>
          </w:p>
        </w:tc>
      </w:tr>
      <w:tr>
        <w:tc>
          <w:tcPr>
            <w:tcW w:type="dxa" w:w="2351"/>
          </w:tcPr>
          <w:p>
            <w:r>
              <w:t>Counterfactual</w:t>
            </w:r>
          </w:p>
        </w:tc>
        <w:tc>
          <w:tcPr>
            <w:tcW w:type="dxa" w:w="2351"/>
          </w:tcPr>
          <w:p>
            <w:r>
              <w:t>O que mudaria a decisão</w:t>
            </w:r>
          </w:p>
        </w:tc>
        <w:tc>
          <w:tcPr>
            <w:tcW w:type="dxa" w:w="2351"/>
          </w:tcPr>
          <w:p>
            <w:r>
              <w:t>DiCE / Alibi</w:t>
            </w:r>
          </w:p>
        </w:tc>
        <w:tc>
          <w:tcPr>
            <w:tcW w:type="dxa" w:w="2351"/>
          </w:tcPr>
          <w:p>
            <w:r>
              <w:t>Boa prática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Exemplos de explicações reais</w:t>
      </w:r>
    </w:p>
    <w:p>
      <w:r>
        <w:rPr>
          <w:b/>
          <w:sz w:val="22"/>
        </w:rPr>
        <w:t>─── MedTriage AI v3.2.1 ───</w:t>
      </w:r>
    </w:p>
    <w:p>
      <w:r>
        <w:rPr>
          <w:sz w:val="22"/>
        </w:rPr>
        <w:t>Caso: Doente João, 68 anos, dor torácica + sudorese. Output: Laranja (muito urgente).</w:t>
      </w:r>
    </w:p>
    <w:p>
      <w:r>
        <w:rPr>
          <w:sz w:val="22"/>
        </w:rPr>
        <w:t>Top 3 razões (SHAP):</w:t>
      </w:r>
    </w:p>
    <w:p>
      <w:r>
        <w:rPr>
          <w:sz w:val="22"/>
        </w:rPr>
        <w:t xml:space="preserve">  1. "Dor torácica" + "sudorese profusa" combinados (+0.42 score)</w:t>
      </w:r>
    </w:p>
    <w:p>
      <w:r>
        <w:rPr>
          <w:sz w:val="22"/>
        </w:rPr>
        <w:t xml:space="preserve">  2. Idade ≥65 com fatores de risco vasculares no histórico (+0.28)</w:t>
      </w:r>
    </w:p>
    <w:p>
      <w:r>
        <w:rPr>
          <w:sz w:val="22"/>
        </w:rPr>
        <w:t xml:space="preserve">  3. Frequência cardíaca acima de 110 bpm (+0.15)</w:t>
      </w:r>
    </w:p>
    <w:p>
      <w:r>
        <w:rPr>
          <w:sz w:val="22"/>
        </w:rPr>
      </w:r>
    </w:p>
    <w:p>
      <w:r>
        <w:rPr>
          <w:b/>
          <w:sz w:val="22"/>
        </w:rPr>
        <w:t>─── HR-Match v1.0.4 ───</w:t>
      </w:r>
    </w:p>
    <w:p>
      <w:r>
        <w:rPr>
          <w:sz w:val="22"/>
        </w:rPr>
        <w:t>Caso: Candidatura X para vaga "Enfermeiro Triagem" - score 72/100, posição 8/124.</w:t>
      </w:r>
    </w:p>
    <w:p>
      <w:r>
        <w:rPr>
          <w:sz w:val="22"/>
        </w:rPr>
        <w:t>Top 3 razões: 1. Experiência triagem (+15pp); 2. Localização Faro (+10pp); 3. Formação SAVT (+5pp).</w:t>
      </w:r>
    </w:p>
    <w:p>
      <w:r>
        <w:rPr>
          <w:sz w:val="22"/>
        </w:rPr>
        <w:t>Counterfactual: "Para ficar no top-5, X precisaria de 2 anos adicionais de experiência triagem".</w:t>
      </w:r>
    </w:p>
    <w:p>
      <w:r>
        <w:rPr>
          <w:sz w:val="22"/>
        </w:rPr>
      </w:r>
    </w:p>
    <w:p>
      <w:r>
        <w:rPr>
          <w:b/>
          <w:sz w:val="22"/>
        </w:rPr>
        <w:t>─── CodeAssist GPAI v1.0 ───</w:t>
      </w:r>
    </w:p>
    <w:p>
      <w:r>
        <w:rPr>
          <w:sz w:val="22"/>
        </w:rPr>
        <w:t>Caso: Sugestão "use SQLAlchemy ORM em vez de string concatenation".</w:t>
      </w:r>
    </w:p>
    <w:p>
      <w:r>
        <w:rPr>
          <w:sz w:val="22"/>
        </w:rPr>
        <w:t>Razão: "Padrão de SQL injection detetado no código atual; alternativa segura sugerida (regra OWASP A03)".</w:t>
      </w:r>
    </w:p>
    <w:p>
      <w:pPr>
        <w:pStyle w:val="Heading2"/>
      </w:pPr>
      <w:r>
        <w:rPr>
          <w:rFonts w:ascii="Calibri" w:hAnsi="Calibri"/>
          <w:color w:val="0F172A"/>
        </w:rPr>
        <w:t>3. Direito a explicação significativa (Art. 26(11))</w:t>
      </w:r>
    </w:p>
    <w:p>
      <w:pPr>
        <w:pStyle w:val="ListBullet"/>
        <w:ind w:left="283"/>
      </w:pPr>
      <w:r>
        <w:rPr>
          <w:sz w:val="21"/>
        </w:rPr>
        <w:t>☑  Disponível em pedido (5 dias úteis)</w:t>
      </w:r>
    </w:p>
    <w:p>
      <w:pPr>
        <w:pStyle w:val="ListBullet"/>
        <w:ind w:left="283"/>
      </w:pPr>
      <w:r>
        <w:rPr>
          <w:sz w:val="21"/>
        </w:rPr>
        <w:t>☑  Linguagem compreensível ao público-alvo</w:t>
      </w:r>
    </w:p>
    <w:p>
      <w:pPr>
        <w:pStyle w:val="ListBullet"/>
        <w:ind w:left="283"/>
      </w:pPr>
      <w:r>
        <w:rPr>
          <w:sz w:val="21"/>
        </w:rPr>
        <w:t>☑  Não-divulgação de segredos comerciais protegidos</w:t>
      </w:r>
    </w:p>
    <w:p>
      <w:pPr>
        <w:pStyle w:val="ListBullet"/>
        <w:ind w:left="283"/>
      </w:pPr>
      <w:r>
        <w:rPr>
          <w:sz w:val="21"/>
        </w:rPr>
        <w:t>☑  Identificação clara de que o sistema é IA</w:t>
      </w:r>
    </w:p>
    <w:p>
      <w:pPr>
        <w:pStyle w:val="ListBullet"/>
        <w:ind w:left="283"/>
      </w:pPr>
      <w:r>
        <w:rPr>
          <w:sz w:val="21"/>
        </w:rPr>
        <w:t>☑  Caminho para revisão humana e queixa</w:t>
      </w:r>
    </w:p>
    <w:p>
      <w:pPr>
        <w:pStyle w:val="Heading2"/>
      </w:pPr>
      <w:r>
        <w:rPr>
          <w:rFonts w:ascii="Calibri" w:hAnsi="Calibri"/>
          <w:color w:val="0F172A"/>
        </w:rPr>
        <w:t>4. Limites e cuidados</w:t>
      </w:r>
    </w:p>
    <w:p>
      <w:r>
        <w:rPr>
          <w:sz w:val="22"/>
        </w:rPr>
        <w:t>A explicabilidade não justifica nem corrige uma decisão errada. Em caso de dúvida sobre a justeza, a decisão deve ser revista por humano competente independentemente da explicação produzida pelo sistema.</w:t>
      </w:r>
    </w:p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