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0"/>
      </w:pPr>
    </w:p>
    <w:p>
      <w:pPr>
        <w:spacing w:after="400"/>
        <w:jc w:val="center"/>
      </w:pPr>
      <w:r>
        <w:rPr>
          <w:rFonts w:ascii="Calibri" w:hAnsi="Calibri"/>
          <w:b/>
          <w:color w:val="0891B2"/>
          <w:sz w:val="20"/>
        </w:rPr>
        <w:t>AI ACT PORTUGAL  ·  TEMPLATE PROFISSIONAL</w:t>
      </w:r>
    </w:p>
    <w:p>
      <w:pPr>
        <w:spacing w:after="800"/>
        <w:jc w:val="center"/>
      </w:pPr>
      <w:r>
        <w:rPr>
          <w:rFonts w:ascii="Calibri" w:hAnsi="Calibri"/>
          <w:i/>
          <w:color w:val="5C6B7A"/>
          <w:sz w:val="22"/>
        </w:rPr>
        <w:t>[Nome da organização]</w:t>
      </w:r>
    </w:p>
    <w:p>
      <w:pPr>
        <w:spacing w:after="300"/>
        <w:jc w:val="center"/>
      </w:pPr>
      <w:r>
        <w:rPr>
          <w:rFonts w:ascii="Calibri" w:hAnsi="Calibri"/>
          <w:b/>
          <w:color w:val="0F172A"/>
          <w:sz w:val="56"/>
        </w:rPr>
        <w:t>Política de Gestão de Risco IA</w:t>
      </w:r>
    </w:p>
    <w:p>
      <w:pPr>
        <w:jc w:val="center"/>
      </w:pPr>
      <w:r>
        <w:rPr>
          <w:rFonts w:ascii="Calibri" w:hAnsi="Calibri"/>
          <w:color w:val="374151"/>
          <w:sz w:val="26"/>
        </w:rPr>
        <w:t>PGR-IA-001 v2.0 - Sistema de gestão de risco contínuo (Art. 9)</w:t>
      </w:r>
    </w:p>
    <w:p>
      <w:pPr>
        <w:spacing w:after="1600" w:before="160"/>
        <w:jc w:val="center"/>
      </w:pPr>
      <w:r>
        <w:rPr>
          <w:rFonts w:ascii="Calibri" w:hAnsi="Calibri"/>
          <w:b/>
          <w:color w:val="EA580C"/>
          <w:sz w:val="22"/>
        </w:rPr>
        <w:t>Art. 9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Versão: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1.0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Data de 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Maio de 2026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Autor: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 Act Portugal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aiact-portugal.pt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Base legal: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Regulamento (UE) 2024/1689</w:t>
            </w:r>
          </w:p>
        </w:tc>
      </w:tr>
    </w:tbl>
    <w:p>
      <w:pPr>
        <w:spacing w:after="1400"/>
      </w:pP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Modelo gratuito disponibilizado por</w:t>
      </w:r>
    </w:p>
    <w:p>
      <w:pPr>
        <w:jc w:val="center"/>
      </w:pPr>
      <w:r>
        <w:rPr>
          <w:rFonts w:ascii="Calibri" w:hAnsi="Calibri"/>
          <w:b/>
          <w:color w:val="0891B2"/>
          <w:sz w:val="24"/>
        </w:rPr>
        <w:t>https://aiact-portugal.pt</w:t>
      </w: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Conformidade com o Regulamento (UE) 2024/1689 (AI Act)</w:t>
      </w:r>
    </w:p>
    <w:p>
      <w:r>
        <w:br w:type="page"/>
      </w:r>
    </w:p>
    <w:p>
      <w:pPr>
        <w:pStyle w:val="Heading1"/>
      </w:pPr>
      <w:r>
        <w:rPr>
          <w:color w:val="0F172A"/>
        </w:rPr>
        <w:t>Sobre esta template</w:t>
      </w:r>
    </w:p>
    <w:p>
      <w:r>
        <w:rPr>
          <w:sz w:val="22"/>
        </w:rPr>
        <w:t>Esta template foi criada pela equipa AI Act Portugal para apoiar organizações em Portugal a implementar boas práticas de conformidade com o Regulamento (UE) 2024/1689 (AI Act). Está pré-preenchida com exemplos reais de uma organização ficcional consistente (TechMed Solutions, S.A.) para que possa ver como cada secção é esperada - basta substituir pelos dados da sua organização.</w:t>
      </w:r>
    </w:p>
    <w:p>
      <w:r>
        <w:rPr>
          <w:sz w:val="22"/>
        </w:rPr>
        <w:t>Para adaptar à sua organização: substitua os dados de exemplo pelos dados reais; ajuste as secções conforme a maturidade, dimensão e setor; remova ou expanda blocos opcionais; valide com o seu AI Officer, DPO e aconselhamento jurídico antes de utilização operacional ou submissão a autoridade competente.</w:t>
      </w:r>
    </w:p>
    <w:p>
      <w:pPr>
        <w:pStyle w:val="Heading1"/>
      </w:pPr>
      <w:r>
        <w:rPr>
          <w:color w:val="0F172A"/>
        </w:rPr>
        <w:t>Sobre AI Act Portugal</w:t>
      </w:r>
    </w:p>
    <w:p>
      <w:r>
        <w:rPr>
          <w:sz w:val="22"/>
        </w:rPr>
        <w:t>AI Act Portugal é uma plataforma informativa independente sobre o Regulamento (UE) 2024/1689 (AI Act) com foco em organizações portuguesas. Disponibiliza conteúdo jurídico-técnico atualizado, ferramentas interativas (classificador de risco, calculadora de custos, auditoria, dashboard, roadmap) e modelos profissionais alinhados com as obrigações regulatórias e com a coordenação da ANACOM.</w:t>
      </w:r>
    </w:p>
    <w:p>
      <w:r>
        <w:rPr>
          <w:b/>
          <w:sz w:val="21"/>
        </w:rPr>
        <w:t xml:space="preserve">Plataforma: </w:t>
      </w:r>
      <w:r>
        <w:rPr>
          <w:color w:val="0891B2"/>
          <w:sz w:val="21"/>
        </w:rPr>
        <w:t>https://aiact-portugal.pt</w:t>
      </w:r>
      <w:r>
        <w:rPr>
          <w:b/>
          <w:sz w:val="21"/>
        </w:rPr>
        <w:t xml:space="preserve">   ·   Contactos: </w:t>
      </w:r>
      <w:r>
        <w:rPr>
          <w:color w:val="0891B2"/>
          <w:sz w:val="21"/>
        </w:rPr>
        <w:t>aiact-portugal.pt/pages/contactos.html</w:t>
      </w:r>
    </w:p>
    <w:p>
      <w:r>
        <w:rPr>
          <w:i/>
          <w:color w:val="5C6B7A"/>
          <w:sz w:val="18"/>
        </w:rPr>
        <w:t>Aviso: este modelo não substitui aconselhamento jurídico profissional. Os exemplos pré-preenchidos referem-se a uma organização ficcional e devem ser adaptados à realidade específica da sua organização.</w:t>
      </w:r>
    </w:p>
    <w:p>
      <w:r>
        <w:br w:type="page"/>
      </w:r>
    </w:p>
    <w:p>
      <w:pPr>
        <w:pStyle w:val="Title"/>
      </w:pPr>
      <w:r>
        <w:rPr>
          <w:color w:val="0F172A"/>
          <w:sz w:val="44"/>
        </w:rPr>
        <w:t>Política de Gestão de Risco IA</w:t>
      </w:r>
    </w:p>
    <w:p>
      <w:r>
        <w:rPr>
          <w:i/>
          <w:color w:val="5C6B7A"/>
          <w:sz w:val="19"/>
        </w:rPr>
        <w:t>[Logo da organização]</w:t>
      </w:r>
    </w:p>
    <w:p>
      <w:r>
        <w:rPr>
          <w:b/>
          <w:color w:val="0F172A"/>
          <w:sz w:val="22"/>
        </w:rPr>
        <w:t>[Nome da organização]</w:t>
      </w:r>
    </w:p>
    <w:p>
      <w:r>
        <w:rPr>
          <w:i/>
          <w:color w:val="5C6B7A"/>
          <w:sz w:val="18"/>
        </w:rPr>
        <w:t>Preparado com apoio de AI Act Portugal - aiact-portugal.pt</w:t>
      </w:r>
    </w:p>
    <w:p>
      <w:pPr>
        <w:pBdr>
          <w:bottom w:val="single" w:sz="12" w:space="1" w:color="0891B2"/>
        </w:pBdr>
      </w:pPr>
    </w:p>
    <w:p>
      <w:r>
        <w:rPr>
          <w:b/>
          <w:i/>
          <w:color w:val="EA580C"/>
          <w:sz w:val="19"/>
        </w:rPr>
        <w:t>💡  EXEMPLO PRÉ-PREENCHIDO: Política institucional de TechMed Solutions, S.A., aplicável a todos os sistemas IA.</w:t>
      </w:r>
    </w:p>
    <w:p>
      <w:pPr>
        <w:pStyle w:val="Heading2"/>
      </w:pPr>
      <w:r>
        <w:rPr>
          <w:rFonts w:ascii="Calibri" w:hAnsi="Calibri"/>
          <w:color w:val="0F172A"/>
        </w:rPr>
        <w:t>1. Identificação e controlo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Referência</w:t>
            </w:r>
          </w:p>
        </w:tc>
        <w:tc>
          <w:tcPr>
            <w:tcW w:type="dxa" w:w="6236"/>
          </w:tcPr>
          <w:p>
            <w:r>
              <w:t>PGR-IA-001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Versão</w:t>
            </w:r>
          </w:p>
        </w:tc>
        <w:tc>
          <w:tcPr>
            <w:tcW w:type="dxa" w:w="6236"/>
          </w:tcPr>
          <w:p>
            <w:r>
              <w:t>2.0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Data de aprovação</w:t>
            </w:r>
          </w:p>
        </w:tc>
        <w:tc>
          <w:tcPr>
            <w:tcW w:type="dxa" w:w="6236"/>
          </w:tcPr>
          <w:p>
            <w:r>
              <w:t>2026-04-22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Aprovado por</w:t>
            </w:r>
          </w:p>
        </w:tc>
        <w:tc>
          <w:tcPr>
            <w:tcW w:type="dxa" w:w="6236"/>
          </w:tcPr>
          <w:p>
            <w:r>
              <w:t>Dr. Rui Pereira (CEO) e Conselho de Administração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Próxima revisão</w:t>
            </w:r>
          </w:p>
        </w:tc>
        <w:tc>
          <w:tcPr>
            <w:tcW w:type="dxa" w:w="6236"/>
          </w:tcPr>
          <w:p>
            <w:r>
              <w:t>2027-04-22 (anual)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Responsável pela política</w:t>
            </w:r>
          </w:p>
        </w:tc>
        <w:tc>
          <w:tcPr>
            <w:tcW w:type="dxa" w:w="6236"/>
          </w:tcPr>
          <w:p>
            <w:r>
              <w:t>Maria Silva (AI Officer)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Distribuição</w:t>
            </w:r>
          </w:p>
        </w:tc>
        <w:tc>
          <w:tcPr>
            <w:tcW w:type="dxa" w:w="6236"/>
          </w:tcPr>
          <w:p>
            <w:r>
              <w:t>Todos os colaboradores; publicada no portal interno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2. Objetivo e âmbito</w:t>
      </w:r>
    </w:p>
    <w:p>
      <w:r>
        <w:rPr>
          <w:sz w:val="22"/>
        </w:rPr>
        <w:t>A presente política estabelece o sistema de gestão de risco em IA da TechMed Solutions, S.A., em conformidade com o Art. 9 do Regulamento (UE) 2024/1689. Aplica-se a todos os sistemas de IA de alto risco, GPAI e risco limitado em uso ou desenvolvimento, durante todo o seu ciclo de vida.</w:t>
      </w:r>
    </w:p>
    <w:p>
      <w:pPr>
        <w:pStyle w:val="Heading2"/>
      </w:pPr>
      <w:r>
        <w:rPr>
          <w:rFonts w:ascii="Calibri" w:hAnsi="Calibri"/>
          <w:color w:val="0F172A"/>
        </w:rPr>
        <w:t>3. Princípios</w:t>
      </w:r>
    </w:p>
    <w:p>
      <w:pPr>
        <w:pStyle w:val="ListBullet"/>
        <w:ind w:left="283"/>
      </w:pPr>
      <w:r>
        <w:rPr>
          <w:sz w:val="21"/>
        </w:rPr>
        <w:t>☑  Processo contínuo, iterativo e documentado</w:t>
      </w:r>
    </w:p>
    <w:p>
      <w:pPr>
        <w:pStyle w:val="ListBullet"/>
        <w:ind w:left="283"/>
      </w:pPr>
      <w:r>
        <w:rPr>
          <w:sz w:val="21"/>
        </w:rPr>
        <w:t>☑  Identificação proativa de riscos conhecidos e previsíveis</w:t>
      </w:r>
    </w:p>
    <w:p>
      <w:pPr>
        <w:pStyle w:val="ListBullet"/>
        <w:ind w:left="283"/>
      </w:pPr>
      <w:r>
        <w:rPr>
          <w:sz w:val="21"/>
        </w:rPr>
        <w:t>☑  Análise de utilização normal e indevida razoavelmente previsível</w:t>
      </w:r>
    </w:p>
    <w:p>
      <w:pPr>
        <w:pStyle w:val="ListBullet"/>
        <w:ind w:left="283"/>
      </w:pPr>
      <w:r>
        <w:rPr>
          <w:sz w:val="21"/>
        </w:rPr>
        <w:t>☑  Avaliação contínua com base em dados pós-mercado (Art. 72)</w:t>
      </w:r>
    </w:p>
    <w:p>
      <w:pPr>
        <w:pStyle w:val="ListBullet"/>
        <w:ind w:left="283"/>
      </w:pPr>
      <w:r>
        <w:rPr>
          <w:sz w:val="21"/>
        </w:rPr>
        <w:t>☑  Adoção de medidas adequadas e proporcionais</w:t>
      </w:r>
    </w:p>
    <w:p>
      <w:pPr>
        <w:pStyle w:val="ListBullet"/>
        <w:ind w:left="283"/>
      </w:pPr>
      <w:r>
        <w:rPr>
          <w:sz w:val="21"/>
        </w:rPr>
        <w:t>☑  Aceitação formal de risco residual pelo órgão de gestão</w:t>
      </w:r>
    </w:p>
    <w:p>
      <w:pPr>
        <w:pStyle w:val="ListBullet"/>
        <w:ind w:left="283"/>
      </w:pPr>
      <w:r>
        <w:rPr>
          <w:sz w:val="21"/>
        </w:rPr>
        <w:t>☑  Revisão sistemática após qualquer alteração material</w:t>
      </w:r>
    </w:p>
    <w:p>
      <w:pPr>
        <w:pStyle w:val="Heading2"/>
      </w:pPr>
      <w:r>
        <w:rPr>
          <w:rFonts w:ascii="Calibri" w:hAnsi="Calibri"/>
          <w:color w:val="0F172A"/>
        </w:rPr>
        <w:t>4. Etapas do processo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#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Etapa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Responsável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Frequência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Output</w:t>
            </w:r>
          </w:p>
        </w:tc>
      </w:tr>
      <w:tr>
        <w:tc>
          <w:tcPr>
            <w:tcW w:type="dxa" w:w="1881"/>
          </w:tcPr>
          <w:p>
            <w:r>
              <w:t>1</w:t>
            </w:r>
          </w:p>
        </w:tc>
        <w:tc>
          <w:tcPr>
            <w:tcW w:type="dxa" w:w="1881"/>
          </w:tcPr>
          <w:p>
            <w:r>
              <w:t>Identificação</w:t>
            </w:r>
          </w:p>
        </w:tc>
        <w:tc>
          <w:tcPr>
            <w:tcW w:type="dxa" w:w="1881"/>
          </w:tcPr>
          <w:p>
            <w:r>
              <w:t>Maria Silva</w:t>
            </w:r>
          </w:p>
        </w:tc>
        <w:tc>
          <w:tcPr>
            <w:tcW w:type="dxa" w:w="1881"/>
          </w:tcPr>
          <w:p>
            <w:r>
              <w:t>Inicial + revisão semestral</w:t>
            </w:r>
          </w:p>
        </w:tc>
        <w:tc>
          <w:tcPr>
            <w:tcW w:type="dxa" w:w="1881"/>
          </w:tcPr>
          <w:p>
            <w:r>
              <w:t>Registo de riscos atualizado</w:t>
            </w:r>
          </w:p>
        </w:tc>
      </w:tr>
      <w:tr>
        <w:tc>
          <w:tcPr>
            <w:tcW w:type="dxa" w:w="1881"/>
          </w:tcPr>
          <w:p>
            <w:r>
              <w:t>2</w:t>
            </w:r>
          </w:p>
        </w:tc>
        <w:tc>
          <w:tcPr>
            <w:tcW w:type="dxa" w:w="1881"/>
          </w:tcPr>
          <w:p>
            <w:r>
              <w:t>Análise (P×I)</w:t>
            </w:r>
          </w:p>
        </w:tc>
        <w:tc>
          <w:tcPr>
            <w:tcW w:type="dxa" w:w="1881"/>
          </w:tcPr>
          <w:p>
            <w:r>
              <w:t>Owner + AI Officer</w:t>
            </w:r>
          </w:p>
        </w:tc>
        <w:tc>
          <w:tcPr>
            <w:tcW w:type="dxa" w:w="1881"/>
          </w:tcPr>
          <w:p>
            <w:r>
              <w:t>Por sistema, sempre que mudanças</w:t>
            </w:r>
          </w:p>
        </w:tc>
        <w:tc>
          <w:tcPr>
            <w:tcW w:type="dxa" w:w="1881"/>
          </w:tcPr>
          <w:p>
            <w:r>
              <w:t>Análise documentada</w:t>
            </w:r>
          </w:p>
        </w:tc>
      </w:tr>
      <w:tr>
        <w:tc>
          <w:tcPr>
            <w:tcW w:type="dxa" w:w="1881"/>
          </w:tcPr>
          <w:p>
            <w:r>
              <w:t>3</w:t>
            </w:r>
          </w:p>
        </w:tc>
        <w:tc>
          <w:tcPr>
            <w:tcW w:type="dxa" w:w="1881"/>
          </w:tcPr>
          <w:p>
            <w:r>
              <w:t>Avaliação pós-mercado</w:t>
            </w:r>
          </w:p>
        </w:tc>
        <w:tc>
          <w:tcPr>
            <w:tcW w:type="dxa" w:w="1881"/>
          </w:tcPr>
          <w:p>
            <w:r>
              <w:t>Ana Costa</w:t>
            </w:r>
          </w:p>
        </w:tc>
        <w:tc>
          <w:tcPr>
            <w:tcW w:type="dxa" w:w="1881"/>
          </w:tcPr>
          <w:p>
            <w:r>
              <w:t>Trimestral (auto via dashboard)</w:t>
            </w:r>
          </w:p>
        </w:tc>
        <w:tc>
          <w:tcPr>
            <w:tcW w:type="dxa" w:w="1881"/>
          </w:tcPr>
          <w:p>
            <w:r>
              <w:t>Atualização do registo</w:t>
            </w:r>
          </w:p>
        </w:tc>
      </w:tr>
      <w:tr>
        <w:tc>
          <w:tcPr>
            <w:tcW w:type="dxa" w:w="1881"/>
          </w:tcPr>
          <w:p>
            <w:r>
              <w:t>4</w:t>
            </w:r>
          </w:p>
        </w:tc>
        <w:tc>
          <w:tcPr>
            <w:tcW w:type="dxa" w:w="1881"/>
          </w:tcPr>
          <w:p>
            <w:r>
              <w:t>Mitigação</w:t>
            </w:r>
          </w:p>
        </w:tc>
        <w:tc>
          <w:tcPr>
            <w:tcW w:type="dxa" w:w="1881"/>
          </w:tcPr>
          <w:p>
            <w:r>
              <w:t>Owner do sistema</w:t>
            </w:r>
          </w:p>
        </w:tc>
        <w:tc>
          <w:tcPr>
            <w:tcW w:type="dxa" w:w="1881"/>
          </w:tcPr>
          <w:p>
            <w:r>
              <w:t>Conforme priorização</w:t>
            </w:r>
          </w:p>
        </w:tc>
        <w:tc>
          <w:tcPr>
            <w:tcW w:type="dxa" w:w="1881"/>
          </w:tcPr>
          <w:p>
            <w:r>
              <w:t>Plano de ação aprovado</w:t>
            </w:r>
          </w:p>
        </w:tc>
      </w:tr>
      <w:tr>
        <w:tc>
          <w:tcPr>
            <w:tcW w:type="dxa" w:w="1881"/>
          </w:tcPr>
          <w:p>
            <w:r>
              <w:t>5</w:t>
            </w:r>
          </w:p>
        </w:tc>
        <w:tc>
          <w:tcPr>
            <w:tcW w:type="dxa" w:w="1881"/>
          </w:tcPr>
          <w:p>
            <w:r>
              <w:t>Testes de validação</w:t>
            </w:r>
          </w:p>
        </w:tc>
        <w:tc>
          <w:tcPr>
            <w:tcW w:type="dxa" w:w="1881"/>
          </w:tcPr>
          <w:p>
            <w:r>
              <w:t>Equipa técnica</w:t>
            </w:r>
          </w:p>
        </w:tc>
        <w:tc>
          <w:tcPr>
            <w:tcW w:type="dxa" w:w="1881"/>
          </w:tcPr>
          <w:p>
            <w:r>
              <w:t>Antes de cada release</w:t>
            </w:r>
          </w:p>
        </w:tc>
        <w:tc>
          <w:tcPr>
            <w:tcW w:type="dxa" w:w="1881"/>
          </w:tcPr>
          <w:p>
            <w:r>
              <w:t>Relatório de teste</w:t>
            </w:r>
          </w:p>
        </w:tc>
      </w:tr>
      <w:tr>
        <w:tc>
          <w:tcPr>
            <w:tcW w:type="dxa" w:w="1881"/>
          </w:tcPr>
          <w:p>
            <w:r>
              <w:t>6</w:t>
            </w:r>
          </w:p>
        </w:tc>
        <w:tc>
          <w:tcPr>
            <w:tcW w:type="dxa" w:w="1881"/>
          </w:tcPr>
          <w:p>
            <w:r>
              <w:t>Aceitação risco residual</w:t>
            </w:r>
          </w:p>
        </w:tc>
        <w:tc>
          <w:tcPr>
            <w:tcW w:type="dxa" w:w="1881"/>
          </w:tcPr>
          <w:p>
            <w:r>
              <w:t>Dr. Rui Pereira (CEO)</w:t>
            </w:r>
          </w:p>
        </w:tc>
        <w:tc>
          <w:tcPr>
            <w:tcW w:type="dxa" w:w="1881"/>
          </w:tcPr>
          <w:p>
            <w:r>
              <w:t>Trimestral (Comité de Risco)</w:t>
            </w:r>
          </w:p>
        </w:tc>
        <w:tc>
          <w:tcPr>
            <w:tcW w:type="dxa" w:w="1881"/>
          </w:tcPr>
          <w:p>
            <w:r>
              <w:t>Acta com decisão formal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5. Critérios de aceitação de risco residual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Score residual ≤ 4</w:t>
            </w:r>
          </w:p>
        </w:tc>
        <w:tc>
          <w:tcPr>
            <w:tcW w:type="dxa" w:w="6236"/>
          </w:tcPr>
          <w:p>
            <w:r>
              <w:t>Aprovado pelo Owner + AI Officer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Score residual 5-9</w:t>
            </w:r>
          </w:p>
        </w:tc>
        <w:tc>
          <w:tcPr>
            <w:tcW w:type="dxa" w:w="6236"/>
          </w:tcPr>
          <w:p>
            <w:r>
              <w:t>Aprovado por AI Officer + DPO + CISO (Comité IA)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Score residual 10-15</w:t>
            </w:r>
          </w:p>
        </w:tc>
        <w:tc>
          <w:tcPr>
            <w:tcW w:type="dxa" w:w="6236"/>
          </w:tcPr>
          <w:p>
            <w:r>
              <w:t>Aprovado pelo CEO mediante parecer do Comité IA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Score residual ≥ 16</w:t>
            </w:r>
          </w:p>
        </w:tc>
        <w:tc>
          <w:tcPr>
            <w:tcW w:type="dxa" w:w="6236"/>
          </w:tcPr>
          <w:p>
            <w:r>
              <w:t>NÃO aceitável - sistema não pode operar até mitigação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6. Documentação obrigatória</w:t>
      </w:r>
    </w:p>
    <w:p>
      <w:pPr>
        <w:pStyle w:val="ListBullet"/>
        <w:ind w:left="283"/>
      </w:pPr>
      <w:r>
        <w:rPr>
          <w:sz w:val="21"/>
        </w:rPr>
        <w:t>☑  Registo de riscos por sistema (matriz Excel central - RR-001)</w:t>
      </w:r>
    </w:p>
    <w:p>
      <w:pPr>
        <w:pStyle w:val="ListBullet"/>
        <w:ind w:left="283"/>
      </w:pPr>
      <w:r>
        <w:rPr>
          <w:sz w:val="21"/>
        </w:rPr>
        <w:t>☑  Análise de medidas de mitigação implementadas</w:t>
      </w:r>
    </w:p>
    <w:p>
      <w:pPr>
        <w:pStyle w:val="ListBullet"/>
        <w:ind w:left="283"/>
      </w:pPr>
      <w:r>
        <w:rPr>
          <w:sz w:val="21"/>
        </w:rPr>
        <w:t>☑  Riscos residuais e justificação de aceitação</w:t>
      </w:r>
    </w:p>
    <w:p>
      <w:pPr>
        <w:pStyle w:val="ListBullet"/>
        <w:ind w:left="283"/>
      </w:pPr>
      <w:r>
        <w:rPr>
          <w:sz w:val="21"/>
        </w:rPr>
        <w:t>☑  Relatórios de testes de validação</w:t>
      </w:r>
    </w:p>
    <w:p>
      <w:pPr>
        <w:pStyle w:val="ListBullet"/>
        <w:ind w:left="283"/>
      </w:pPr>
      <w:r>
        <w:rPr>
          <w:sz w:val="21"/>
        </w:rPr>
        <w:t>☑  Atualizações face a alterações no sistema</w:t>
      </w:r>
    </w:p>
    <w:p>
      <w:pPr>
        <w:pStyle w:val="ListBullet"/>
        <w:ind w:left="283"/>
      </w:pPr>
      <w:r>
        <w:rPr>
          <w:sz w:val="21"/>
        </w:rPr>
        <w:t>☑  Acta do Comité IA mensal</w:t>
      </w:r>
    </w:p>
    <w:p>
      <w:pPr>
        <w:pStyle w:val="Heading2"/>
      </w:pPr>
      <w:r>
        <w:rPr>
          <w:rFonts w:ascii="Calibri" w:hAnsi="Calibri"/>
          <w:color w:val="0F172A"/>
        </w:rPr>
        <w:t>7. Comité de Gestão de Risco IA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Composição</w:t>
            </w:r>
          </w:p>
        </w:tc>
        <w:tc>
          <w:tcPr>
            <w:tcW w:type="dxa" w:w="6236"/>
          </w:tcPr>
          <w:p>
            <w:r>
              <w:t>Maria Silva (presidente), João Santos (DPO), Ana Costa (CISO), Owners de sistemas, representante jurídico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Frequência</w:t>
            </w:r>
          </w:p>
        </w:tc>
        <w:tc>
          <w:tcPr>
            <w:tcW w:type="dxa" w:w="6236"/>
          </w:tcPr>
          <w:p>
            <w:r>
              <w:t>Mensal - primeira segunda-feira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Quórum</w:t>
            </w:r>
          </w:p>
        </w:tc>
        <w:tc>
          <w:tcPr>
            <w:tcW w:type="dxa" w:w="6236"/>
          </w:tcPr>
          <w:p>
            <w:r>
              <w:t>AI Officer + 3 membros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Poderes</w:t>
            </w:r>
          </w:p>
        </w:tc>
        <w:tc>
          <w:tcPr>
            <w:tcW w:type="dxa" w:w="6236"/>
          </w:tcPr>
          <w:p>
            <w:r>
              <w:t>Aprovar riscos médios, escalar críticos ao CEO, exigir auditorias, suspender sistemas em risco</w:t>
            </w:r>
          </w:p>
        </w:tc>
      </w:tr>
    </w:tbl>
    <w:p/>
    <w:p>
      <w:pPr>
        <w:jc w:val="center"/>
      </w:pPr>
      <w:r>
        <w:rPr>
          <w:i/>
          <w:color w:val="5C6B7A"/>
          <w:sz w:val="16"/>
        </w:rPr>
        <w:t>Este modelo foi gerado por AI Act Portugal (https://aiact-portugal.pt) como guia indicativo de conformidade com o Regulamento (UE) 2024/1689. Os exemplos pré-preenchidos referem-se a uma organização ficcional (TechMed Solutions, S.A.) - adapte os campos à realidade da sua organização. Não substitui aconselhamento jurídico.</w:t>
      </w:r>
    </w:p>
    <w:p>
      <w:r>
        <w:br w:type="page"/>
      </w:r>
    </w:p>
    <w:p>
      <w:pPr>
        <w:pStyle w:val="Heading2"/>
      </w:pPr>
      <w:r>
        <w:rPr>
          <w:rFonts w:ascii="Calibri" w:hAnsi="Calibri"/>
          <w:color w:val="0F172A"/>
        </w:rPr>
        <w:t>Histórico de revisões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Versão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Data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Autor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Resumo das alterações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Aprovado por</w:t>
            </w:r>
          </w:p>
        </w:tc>
      </w:tr>
      <w:tr>
        <w:tc>
          <w:tcPr>
            <w:tcW w:type="dxa" w:w="1881"/>
          </w:tcPr>
          <w:p>
            <w:r>
              <w:t>1.0</w:t>
            </w:r>
          </w:p>
        </w:tc>
        <w:tc>
          <w:tcPr>
            <w:tcW w:type="dxa" w:w="1881"/>
          </w:tcPr>
          <w:p>
            <w:r>
              <w:t>2026-04-15</w:t>
            </w:r>
          </w:p>
        </w:tc>
        <w:tc>
          <w:tcPr>
            <w:tcW w:type="dxa" w:w="1881"/>
          </w:tcPr>
          <w:p>
            <w:r>
              <w:t>AI Officer</w:t>
            </w:r>
          </w:p>
        </w:tc>
        <w:tc>
          <w:tcPr>
            <w:tcW w:type="dxa" w:w="1881"/>
          </w:tcPr>
          <w:p>
            <w:r>
              <w:t>Versão inicial</w:t>
            </w:r>
          </w:p>
        </w:tc>
        <w:tc>
          <w:tcPr>
            <w:tcW w:type="dxa" w:w="1881"/>
          </w:tcPr>
          <w:p>
            <w:r>
              <w:t>CEO + Comité IA</w:t>
            </w:r>
          </w:p>
        </w:tc>
      </w:tr>
      <w:tr>
        <w:tc>
          <w:tcPr>
            <w:tcW w:type="dxa" w:w="1881"/>
          </w:tcPr>
          <w:p>
            <w:r>
              <w:t>1.1</w:t>
            </w:r>
          </w:p>
        </w:tc>
        <w:tc>
          <w:tcPr>
            <w:tcW w:type="dxa" w:w="1881"/>
          </w:tcPr>
          <w:p>
            <w:r>
              <w:t>__/__/______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</w:tr>
      <w:tr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</w:tr>
    </w:tbl>
    <w:p>
      <w:r>
        <w:rPr>
          <w:i/>
          <w:color w:val="5C6B7A"/>
          <w:sz w:val="18"/>
        </w:rPr>
        <w:t>Cada alteração material a este documento deve gerar nova versão e ser aprovada pelas pessoas designadas. Conserve histórico durante 10 anos (Art. 11(2) para sistemas de alto risco).</w:t>
      </w:r>
    </w:p>
    <w:p/>
    <w:p>
      <w:pPr>
        <w:pStyle w:val="Heading2"/>
      </w:pPr>
      <w:r>
        <w:rPr>
          <w:rFonts w:ascii="Calibri" w:hAnsi="Calibri"/>
          <w:color w:val="0F172A"/>
        </w:rPr>
        <w:t>Aprovações</w:t>
      </w:r>
    </w:p>
    <w:p>
      <w:r>
        <w:rPr>
          <w:sz w:val="21"/>
        </w:rPr>
        <w:t>Este documento foi revisto e aprovado pelas pessoas indicadas abaixo. As assinaturas atestam concordância com o conteúdo e compromisso com a sua aplicação na organização.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Papel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Nome e cargo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Assinatura e data</w:t>
            </w:r>
          </w:p>
        </w:tc>
      </w:tr>
      <w:tr>
        <w:tc>
          <w:tcPr>
            <w:tcW w:type="dxa" w:w="3135"/>
          </w:tcPr>
          <w:p>
            <w:r>
              <w:t>Elaborado por</w:t>
            </w:r>
          </w:p>
        </w:tc>
        <w:tc>
          <w:tcPr>
            <w:tcW w:type="dxa" w:w="3135"/>
          </w:tcPr>
          <w:p>
            <w:r>
              <w:t>[Nome] · AI Officer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Revisto por</w:t>
            </w:r>
          </w:p>
        </w:tc>
        <w:tc>
          <w:tcPr>
            <w:tcW w:type="dxa" w:w="3135"/>
          </w:tcPr>
          <w:p>
            <w:r>
              <w:t>[Nome] · DPO + CISO + Compliance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Aprovado por</w:t>
            </w:r>
          </w:p>
        </w:tc>
        <w:tc>
          <w:tcPr>
            <w:tcW w:type="dxa" w:w="3135"/>
          </w:tcPr>
          <w:p>
            <w:r>
              <w:t>[Nome] · CEO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417" w:bottom="1247" w:left="1417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1" w:color="0891B2"/>
      </w:pBdr>
    </w:pPr>
    <w:r>
      <w:rPr>
        <w:rFonts w:ascii="Calibri" w:hAnsi="Calibri"/>
        <w:color w:val="5C6B7A"/>
        <w:sz w:val="17"/>
      </w:rPr>
      <w:t xml:space="preserve">Confidencial  |  Página </w:t>
    </w:r>
    <w:r>
      <w:rPr>
        <w:rFonts w:ascii="Calibri" w:hAnsi="Calibri"/>
        <w:color w:val="5C6B7A"/>
        <w:sz w:val="17"/>
      </w:rPr>
      <w:fldChar w:fldCharType="begin"/>
      <w:instrText>PAGE</w:instrText>
      <w:fldChar w:fldCharType="end"/>
    </w:r>
    <w:r>
      <w:rPr>
        <w:rFonts w:ascii="Calibri" w:hAnsi="Calibri"/>
        <w:color w:val="5C6B7A"/>
        <w:sz w:val="17"/>
      </w:rPr>
      <w:t xml:space="preserve"> de </w:t>
    </w:r>
    <w:r>
      <w:rPr>
        <w:rFonts w:ascii="Calibri" w:hAnsi="Calibri"/>
        <w:color w:val="5C6B7A"/>
        <w:sz w:val="17"/>
      </w:rPr>
      <w:fldChar w:fldCharType="begin"/>
      <w:instrText>NUMPAGES</w:instrText>
      <w:fldChar w:fldCharType="end"/>
    </w:r>
    <w:r>
      <w:rPr>
        <w:rFonts w:ascii="Calibri" w:hAnsi="Calibri"/>
        <w:color w:val="5C6B7A"/>
        <w:sz w:val="17"/>
      </w:rPr>
      <w:t xml:space="preserve">  ·  AI Act Portugal · Reg. (UE) 2024/1689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6" w:space="1" w:color="0F172A"/>
      </w:pBdr>
    </w:pPr>
    <w:r>
      <w:rPr>
        <w:rFonts w:ascii="Calibri" w:hAnsi="Calibri"/>
        <w:i/>
        <w:color w:val="5C6B7A"/>
        <w:sz w:val="17"/>
      </w:rPr>
      <w:t>AI Act Portugal  ·  Modelo Profissional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jc w:val="both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