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Literacia em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POL-LIT-001 v2.0 - Conforme Art. 4 do Regulamento (UE) 2024/1689 (em vigor desde 2 fev 2025)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4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Literacia em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Política institucional de TechMed Solutions, S.A., com cobertura atual 100% do pessoal.</w:t>
      </w:r>
    </w:p>
    <w:p>
      <w:pPr>
        <w:pStyle w:val="Heading2"/>
      </w:pPr>
      <w:r>
        <w:rPr>
          <w:rFonts w:ascii="Calibri" w:hAnsi="Calibri"/>
          <w:color w:val="0F172A"/>
        </w:rPr>
        <w:t>1. Princípios</w:t>
      </w:r>
    </w:p>
    <w:p>
      <w:r>
        <w:rPr>
          <w:sz w:val="22"/>
        </w:rPr>
        <w:t>Em conformidade com o Art. 4 (em vigor desde 2 de fevereiro de 2025), a TechMed Solutions, S.A. garante um nível suficiente de literacia em IA a todo o pessoal e a outras pessoas que lidem com o funcionamento e utilização de sistemas de IA em seu nome - incluindo prestadores de serviços e subcontratados.</w:t>
      </w:r>
    </w:p>
    <w:p>
      <w:pPr>
        <w:pStyle w:val="Heading2"/>
      </w:pPr>
      <w:r>
        <w:rPr>
          <w:rFonts w:ascii="Calibri" w:hAnsi="Calibri"/>
          <w:color w:val="0F172A"/>
        </w:rPr>
        <w:t>2. Públicos-alvo e conteúdos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Público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Conteúdo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Frequência (h)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Avaliação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Cobertura</w:t>
            </w:r>
          </w:p>
        </w:tc>
      </w:tr>
      <w:tr>
        <w:tc>
          <w:tcPr>
            <w:tcW w:type="dxa" w:w="1881"/>
          </w:tcPr>
          <w:p>
            <w:r>
              <w:t>Administração / Conselho</w:t>
            </w:r>
          </w:p>
        </w:tc>
        <w:tc>
          <w:tcPr>
            <w:tcW w:type="dxa" w:w="1881"/>
          </w:tcPr>
          <w:p>
            <w:r>
              <w:t>Visão geral, riscos, obrigações de gestão, AI Act estrutura, multas</w:t>
            </w:r>
          </w:p>
        </w:tc>
        <w:tc>
          <w:tcPr>
            <w:tcW w:type="dxa" w:w="1881"/>
          </w:tcPr>
          <w:p>
            <w:r>
              <w:t>Anual (4h)</w:t>
            </w:r>
          </w:p>
        </w:tc>
        <w:tc>
          <w:tcPr>
            <w:tcW w:type="dxa" w:w="1881"/>
          </w:tcPr>
          <w:p>
            <w:r>
              <w:t>Acta de revisão pela gestão</w:t>
            </w:r>
          </w:p>
        </w:tc>
        <w:tc>
          <w:tcPr>
            <w:tcW w:type="dxa" w:w="1881"/>
          </w:tcPr>
          <w:p>
            <w:r>
              <w:t>✓ 100% (5/5)</w:t>
            </w:r>
          </w:p>
        </w:tc>
      </w:tr>
      <w:tr>
        <w:tc>
          <w:tcPr>
            <w:tcW w:type="dxa" w:w="1881"/>
          </w:tcPr>
          <w:p>
            <w:r>
              <w:t>Equipas técnicas (devs, data, ML)</w:t>
            </w:r>
          </w:p>
        </w:tc>
        <w:tc>
          <w:tcPr>
            <w:tcW w:type="dxa" w:w="1881"/>
          </w:tcPr>
          <w:p>
            <w:r>
              <w:t>Profundo: arquitetura, governança dados, requisitos Art. 9-15, MLOps responsável</w:t>
            </w:r>
          </w:p>
        </w:tc>
        <w:tc>
          <w:tcPr>
            <w:tcW w:type="dxa" w:w="1881"/>
          </w:tcPr>
          <w:p>
            <w:r>
              <w:t>Semestral (16h+8h)</w:t>
            </w:r>
          </w:p>
        </w:tc>
        <w:tc>
          <w:tcPr>
            <w:tcW w:type="dxa" w:w="1881"/>
          </w:tcPr>
          <w:p>
            <w:r>
              <w:t>Avaliação prática (projeto)</w:t>
            </w:r>
          </w:p>
        </w:tc>
        <w:tc>
          <w:tcPr>
            <w:tcW w:type="dxa" w:w="1881"/>
          </w:tcPr>
          <w:p>
            <w:r>
              <w:t>✓ 100% (42/42)</w:t>
            </w:r>
          </w:p>
        </w:tc>
      </w:tr>
      <w:tr>
        <w:tc>
          <w:tcPr>
            <w:tcW w:type="dxa" w:w="1881"/>
          </w:tcPr>
          <w:p>
            <w:r>
              <w:t>Operadores / supervisores humanos (clínicos, RH)</w:t>
            </w:r>
          </w:p>
        </w:tc>
        <w:tc>
          <w:tcPr>
            <w:tcW w:type="dxa" w:w="1881"/>
          </w:tcPr>
          <w:p>
            <w:r>
              <w:t>Funcionamento, limitações, intervenção, MTS, queixa</w:t>
            </w:r>
          </w:p>
        </w:tc>
        <w:tc>
          <w:tcPr>
            <w:tcW w:type="dxa" w:w="1881"/>
          </w:tcPr>
          <w:p>
            <w:r>
              <w:t>Trimestral (8h+4h+4h+4h)</w:t>
            </w:r>
          </w:p>
        </w:tc>
        <w:tc>
          <w:tcPr>
            <w:tcW w:type="dxa" w:w="1881"/>
          </w:tcPr>
          <w:p>
            <w:r>
              <w:t>Simulação MTS</w:t>
            </w:r>
          </w:p>
        </w:tc>
        <w:tc>
          <w:tcPr>
            <w:tcW w:type="dxa" w:w="1881"/>
          </w:tcPr>
          <w:p>
            <w:r>
              <w:t>✓ 100% (32/32)</w:t>
            </w:r>
          </w:p>
        </w:tc>
      </w:tr>
      <w:tr>
        <w:tc>
          <w:tcPr>
            <w:tcW w:type="dxa" w:w="1881"/>
          </w:tcPr>
          <w:p>
            <w:r>
              <w:t>Utilizadores finais internos (todos os colaboradores)</w:t>
            </w:r>
          </w:p>
        </w:tc>
        <w:tc>
          <w:tcPr>
            <w:tcW w:type="dxa" w:w="1881"/>
          </w:tcPr>
          <w:p>
            <w:r>
              <w:t>Boas práticas IA generativa, riscos, AUP</w:t>
            </w:r>
          </w:p>
        </w:tc>
        <w:tc>
          <w:tcPr>
            <w:tcW w:type="dxa" w:w="1881"/>
          </w:tcPr>
          <w:p>
            <w:r>
              <w:t>Semestral (2h+1h)</w:t>
            </w:r>
          </w:p>
        </w:tc>
        <w:tc>
          <w:tcPr>
            <w:tcW w:type="dxa" w:w="1881"/>
          </w:tcPr>
          <w:p>
            <w:r>
              <w:t>Quiz LMS (≥80%)</w:t>
            </w:r>
          </w:p>
        </w:tc>
        <w:tc>
          <w:tcPr>
            <w:tcW w:type="dxa" w:w="1881"/>
          </w:tcPr>
          <w:p>
            <w:r>
              <w:t>✓ 98% (245/250) - restantes em formação até 2026-Q3</w:t>
            </w:r>
          </w:p>
        </w:tc>
      </w:tr>
      <w:tr>
        <w:tc>
          <w:tcPr>
            <w:tcW w:type="dxa" w:w="1881"/>
          </w:tcPr>
          <w:p>
            <w:r>
              <w:t>Áreas funcionais (RH, jurídico, compliance)</w:t>
            </w:r>
          </w:p>
        </w:tc>
        <w:tc>
          <w:tcPr>
            <w:tcW w:type="dxa" w:w="1881"/>
          </w:tcPr>
          <w:p>
            <w:r>
              <w:t>AI Act + RGPD + cadeia de fornecimento</w:t>
            </w:r>
          </w:p>
        </w:tc>
        <w:tc>
          <w:tcPr>
            <w:tcW w:type="dxa" w:w="1881"/>
          </w:tcPr>
          <w:p>
            <w:r>
              <w:t>Anual (8h)</w:t>
            </w:r>
          </w:p>
        </w:tc>
        <w:tc>
          <w:tcPr>
            <w:tcW w:type="dxa" w:w="1881"/>
          </w:tcPr>
          <w:p>
            <w:r>
              <w:t>Confirmação</w:t>
            </w:r>
          </w:p>
        </w:tc>
        <w:tc>
          <w:tcPr>
            <w:tcW w:type="dxa" w:w="1881"/>
          </w:tcPr>
          <w:p>
            <w:r>
              <w:t>✓ 100% (15/15)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Conteúdos mínimos do programa</w:t>
      </w:r>
    </w:p>
    <w:p>
      <w:pPr>
        <w:pStyle w:val="ListBullet"/>
        <w:ind w:left="283"/>
      </w:pPr>
      <w:r>
        <w:rPr>
          <w:sz w:val="21"/>
        </w:rPr>
        <w:t>☑  O que é IA - definição AI Act (Art. 3(1)), categorias</w:t>
      </w:r>
    </w:p>
    <w:p>
      <w:pPr>
        <w:pStyle w:val="ListBullet"/>
        <w:ind w:left="283"/>
      </w:pPr>
      <w:r>
        <w:rPr>
          <w:sz w:val="21"/>
        </w:rPr>
        <w:t>☑  AI Act: estrutura, prazos críticos (2 fev 25, 2 ago 25/26/27), 113 artigos</w:t>
      </w:r>
    </w:p>
    <w:p>
      <w:pPr>
        <w:pStyle w:val="ListBullet"/>
        <w:ind w:left="283"/>
      </w:pPr>
      <w:r>
        <w:rPr>
          <w:sz w:val="21"/>
        </w:rPr>
        <w:t>☑  Categorias de risco (proibido Art. 5, alto Art. 6, GPAI Art. 51, limitado Art. 50, mínimo)</w:t>
      </w:r>
    </w:p>
    <w:p>
      <w:pPr>
        <w:pStyle w:val="ListBullet"/>
        <w:ind w:left="283"/>
      </w:pPr>
      <w:r>
        <w:rPr>
          <w:sz w:val="21"/>
        </w:rPr>
        <w:t>☑  Riscos típicos: viés, discriminação, opacidade, privacidade, segurança</w:t>
      </w:r>
    </w:p>
    <w:p>
      <w:pPr>
        <w:pStyle w:val="ListBullet"/>
        <w:ind w:left="283"/>
      </w:pPr>
      <w:r>
        <w:rPr>
          <w:sz w:val="21"/>
        </w:rPr>
        <w:t>☑  Boas práticas com IA generativa (ChatGPT, Copilot, CodeAssist) - AUP</w:t>
      </w:r>
    </w:p>
    <w:p>
      <w:pPr>
        <w:pStyle w:val="ListBullet"/>
        <w:ind w:left="283"/>
      </w:pPr>
      <w:r>
        <w:rPr>
          <w:sz w:val="21"/>
        </w:rPr>
        <w:t>☑  Direitos dos utilizadores afetados (Art. 26(11), Art. 85)</w:t>
      </w:r>
    </w:p>
    <w:p>
      <w:pPr>
        <w:pStyle w:val="ListBullet"/>
        <w:ind w:left="283"/>
      </w:pPr>
      <w:r>
        <w:rPr>
          <w:sz w:val="21"/>
        </w:rPr>
        <w:t>☑  Canal interno de reporte de incidentes</w:t>
      </w:r>
    </w:p>
    <w:p>
      <w:pPr>
        <w:pStyle w:val="ListBullet"/>
        <w:ind w:left="283"/>
      </w:pPr>
      <w:r>
        <w:rPr>
          <w:sz w:val="21"/>
        </w:rPr>
        <w:t>☑  Casos práticos relevantes para cada função</w:t>
      </w:r>
    </w:p>
    <w:p>
      <w:pPr>
        <w:pStyle w:val="Heading2"/>
      </w:pPr>
      <w:r>
        <w:rPr>
          <w:rFonts w:ascii="Calibri" w:hAnsi="Calibri"/>
          <w:color w:val="0F172A"/>
        </w:rPr>
        <w:t>4. Avaliação de eficácia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KPI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Meta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Atual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Estado</w:t>
            </w:r>
          </w:p>
        </w:tc>
      </w:tr>
      <w:tr>
        <w:tc>
          <w:tcPr>
            <w:tcW w:type="dxa" w:w="2351"/>
          </w:tcPr>
          <w:p>
            <w:r>
              <w:t>% colaboradores formados</w:t>
            </w:r>
          </w:p>
        </w:tc>
        <w:tc>
          <w:tcPr>
            <w:tcW w:type="dxa" w:w="2351"/>
          </w:tcPr>
          <w:p>
            <w:r>
              <w:t>100% (até 2026-Q4)</w:t>
            </w:r>
          </w:p>
        </w:tc>
        <w:tc>
          <w:tcPr>
            <w:tcW w:type="dxa" w:w="2351"/>
          </w:tcPr>
          <w:p>
            <w:r>
              <w:t>99.6%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  <w:tr>
        <w:tc>
          <w:tcPr>
            <w:tcW w:type="dxa" w:w="2351"/>
          </w:tcPr>
          <w:p>
            <w:r>
              <w:t>Score médio quiz</w:t>
            </w:r>
          </w:p>
        </w:tc>
        <w:tc>
          <w:tcPr>
            <w:tcW w:type="dxa" w:w="2351"/>
          </w:tcPr>
          <w:p>
            <w:r>
              <w:t>≥ 85%</w:t>
            </w:r>
          </w:p>
        </w:tc>
        <w:tc>
          <w:tcPr>
            <w:tcW w:type="dxa" w:w="2351"/>
          </w:tcPr>
          <w:p>
            <w:r>
              <w:t>88%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  <w:tr>
        <w:tc>
          <w:tcPr>
            <w:tcW w:type="dxa" w:w="2351"/>
          </w:tcPr>
          <w:p>
            <w:r>
              <w:t>Tempo médio entre formações</w:t>
            </w:r>
          </w:p>
        </w:tc>
        <w:tc>
          <w:tcPr>
            <w:tcW w:type="dxa" w:w="2351"/>
          </w:tcPr>
          <w:p>
            <w:r>
              <w:t>≤ período definido</w:t>
            </w:r>
          </w:p>
        </w:tc>
        <w:tc>
          <w:tcPr>
            <w:tcW w:type="dxa" w:w="2351"/>
          </w:tcPr>
          <w:p>
            <w:r>
              <w:t>Em prazo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  <w:tr>
        <w:tc>
          <w:tcPr>
            <w:tcW w:type="dxa" w:w="2351"/>
          </w:tcPr>
          <w:p>
            <w:r>
              <w:t>Reclamações por desconhecimento</w:t>
            </w:r>
          </w:p>
        </w:tc>
        <w:tc>
          <w:tcPr>
            <w:tcW w:type="dxa" w:w="2351"/>
          </w:tcPr>
          <w:p>
            <w:r>
              <w:t>Decrescente (YoY)</w:t>
            </w:r>
          </w:p>
        </w:tc>
        <w:tc>
          <w:tcPr>
            <w:tcW w:type="dxa" w:w="2351"/>
          </w:tcPr>
          <w:p>
            <w:r>
              <w:t>-30% YoY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  <w:tr>
        <w:tc>
          <w:tcPr>
            <w:tcW w:type="dxa" w:w="2351"/>
          </w:tcPr>
          <w:p>
            <w:r>
              <w:t>Incidentes com causa "literacia"</w:t>
            </w:r>
          </w:p>
        </w:tc>
        <w:tc>
          <w:tcPr>
            <w:tcW w:type="dxa" w:w="2351"/>
          </w:tcPr>
          <w:p>
            <w:r>
              <w:t>≤ 2/ano</w:t>
            </w:r>
          </w:p>
        </w:tc>
        <w:tc>
          <w:tcPr>
            <w:tcW w:type="dxa" w:w="2351"/>
          </w:tcPr>
          <w:p>
            <w:r>
              <w:t>0/ano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LMS e gestão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Plataforma LMS</w:t>
            </w:r>
          </w:p>
        </w:tc>
        <w:tc>
          <w:tcPr>
            <w:tcW w:type="dxa" w:w="6236"/>
          </w:tcPr>
          <w:p>
            <w:r>
              <w:t>Moodle (https://aprende.techmed-solutions.pt)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Responsável programa</w:t>
            </w:r>
          </w:p>
        </w:tc>
        <w:tc>
          <w:tcPr>
            <w:tcW w:type="dxa" w:w="6236"/>
          </w:tcPr>
          <w:p>
            <w:r>
              <w:t>Pedro Almeida (RH) + Maria Silva (AI Officer)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Reciclagem</w:t>
            </w:r>
          </w:p>
        </w:tc>
        <w:tc>
          <w:tcPr>
            <w:tcW w:type="dxa" w:w="6236"/>
          </w:tcPr>
          <w:p>
            <w:r>
              <w:t>Triggered por: nova versão do AI Act / orientações ANACOM / mudança de cargo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Auditoria</w:t>
            </w:r>
          </w:p>
        </w:tc>
        <w:tc>
          <w:tcPr>
            <w:tcW w:type="dxa" w:w="6236"/>
          </w:tcPr>
          <w:p>
            <w:r>
              <w:t>Anual (interna) + KPMG bienal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