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Política de Logging para Sistemas IA de Alto Risco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POL-LOG-001 v1.0 - Conforme Art. 12 do AI Act (retenção 10 anos)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12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Política de Logging para Sistemas IA de Alto Risco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Política institucional aplicável ao MedTriage e HR-Match.</w:t>
      </w:r>
    </w:p>
    <w:p>
      <w:pPr>
        <w:pStyle w:val="Heading2"/>
      </w:pPr>
      <w:r>
        <w:rPr>
          <w:rFonts w:ascii="Calibri" w:hAnsi="Calibri"/>
          <w:color w:val="0F172A"/>
        </w:rPr>
        <w:t>1. Objetivo</w:t>
      </w:r>
    </w:p>
    <w:p>
      <w:r>
        <w:rPr>
          <w:sz w:val="22"/>
        </w:rPr>
        <w:t>Garantir o registo automático de eventos relevantes durante o ciclo de vida dos sistemas IA de alto risco, permitindo monitorização, auditoria e investigação de incidentes (Art. 12 do AI Act).</w:t>
      </w:r>
    </w:p>
    <w:p>
      <w:pPr>
        <w:pStyle w:val="Heading2"/>
      </w:pPr>
      <w:r>
        <w:rPr>
          <w:rFonts w:ascii="Calibri" w:hAnsi="Calibri"/>
          <w:color w:val="0F172A"/>
        </w:rPr>
        <w:t>2. Eventos a registar (mínimos)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Tipo de evento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Quando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Campos mínimos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Retenção</w:t>
            </w:r>
          </w:p>
        </w:tc>
      </w:tr>
      <w:tr>
        <w:tc>
          <w:tcPr>
            <w:tcW w:type="dxa" w:w="2351"/>
          </w:tcPr>
          <w:p>
            <w:r>
              <w:t>Inferência</w:t>
            </w:r>
          </w:p>
        </w:tc>
        <w:tc>
          <w:tcPr>
            <w:tcW w:type="dxa" w:w="2351"/>
          </w:tcPr>
          <w:p>
            <w:r>
              <w:t>Cada chamada ao modelo</w:t>
            </w:r>
          </w:p>
        </w:tc>
        <w:tc>
          <w:tcPr>
            <w:tcW w:type="dxa" w:w="2351"/>
          </w:tcPr>
          <w:p>
            <w:r>
              <w:t>timestamp, input hash, output, confiança, supervisor</w:t>
            </w:r>
          </w:p>
        </w:tc>
        <w:tc>
          <w:tcPr>
            <w:tcW w:type="dxa" w:w="2351"/>
          </w:tcPr>
          <w:p>
            <w:r>
              <w:t>10 anos</w:t>
            </w:r>
          </w:p>
        </w:tc>
      </w:tr>
      <w:tr>
        <w:tc>
          <w:tcPr>
            <w:tcW w:type="dxa" w:w="2351"/>
          </w:tcPr>
          <w:p>
            <w:r>
              <w:t>Anomalia detetada</w:t>
            </w:r>
          </w:p>
        </w:tc>
        <w:tc>
          <w:tcPr>
            <w:tcW w:type="dxa" w:w="2351"/>
          </w:tcPr>
          <w:p>
            <w:r>
              <w:t>PSI&gt;0.20, latência&gt;500ms, erro HTTP</w:t>
            </w:r>
          </w:p>
        </w:tc>
        <w:tc>
          <w:tcPr>
            <w:tcW w:type="dxa" w:w="2351"/>
          </w:tcPr>
          <w:p>
            <w:r>
              <w:t>tipo, valor, sistema, ação</w:t>
            </w:r>
          </w:p>
        </w:tc>
        <w:tc>
          <w:tcPr>
            <w:tcW w:type="dxa" w:w="2351"/>
          </w:tcPr>
          <w:p>
            <w:r>
              <w:t>10 anos</w:t>
            </w:r>
          </w:p>
        </w:tc>
      </w:tr>
      <w:tr>
        <w:tc>
          <w:tcPr>
            <w:tcW w:type="dxa" w:w="2351"/>
          </w:tcPr>
          <w:p>
            <w:r>
              <w:t>Intervenção humana</w:t>
            </w:r>
          </w:p>
        </w:tc>
        <w:tc>
          <w:tcPr>
            <w:tcW w:type="dxa" w:w="2351"/>
          </w:tcPr>
          <w:p>
            <w:r>
              <w:t>Botão "discordar", override, suspensão</w:t>
            </w:r>
          </w:p>
        </w:tc>
        <w:tc>
          <w:tcPr>
            <w:tcW w:type="dxa" w:w="2351"/>
          </w:tcPr>
          <w:p>
            <w:r>
              <w:t>utilizador, razão, decisão final</w:t>
            </w:r>
          </w:p>
        </w:tc>
        <w:tc>
          <w:tcPr>
            <w:tcW w:type="dxa" w:w="2351"/>
          </w:tcPr>
          <w:p>
            <w:r>
              <w:t>10 anos</w:t>
            </w:r>
          </w:p>
        </w:tc>
      </w:tr>
      <w:tr>
        <w:tc>
          <w:tcPr>
            <w:tcW w:type="dxa" w:w="2351"/>
          </w:tcPr>
          <w:p>
            <w:r>
              <w:t>Configuração</w:t>
            </w:r>
          </w:p>
        </w:tc>
        <w:tc>
          <w:tcPr>
            <w:tcW w:type="dxa" w:w="2351"/>
          </w:tcPr>
          <w:p>
            <w:r>
              <w:t>Alteração thresholds, deploy</w:t>
            </w:r>
          </w:p>
        </w:tc>
        <w:tc>
          <w:tcPr>
            <w:tcW w:type="dxa" w:w="2351"/>
          </w:tcPr>
          <w:p>
            <w:r>
              <w:t>utilizador, antes/depois, ticket</w:t>
            </w:r>
          </w:p>
        </w:tc>
        <w:tc>
          <w:tcPr>
            <w:tcW w:type="dxa" w:w="2351"/>
          </w:tcPr>
          <w:p>
            <w:r>
              <w:t>10 anos</w:t>
            </w:r>
          </w:p>
        </w:tc>
      </w:tr>
      <w:tr>
        <w:tc>
          <w:tcPr>
            <w:tcW w:type="dxa" w:w="2351"/>
          </w:tcPr>
          <w:p>
            <w:r>
              <w:t>Acesso</w:t>
            </w:r>
          </w:p>
        </w:tc>
        <w:tc>
          <w:tcPr>
            <w:tcW w:type="dxa" w:w="2351"/>
          </w:tcPr>
          <w:p>
            <w:r>
              <w:t>Login, leitura de log, export</w:t>
            </w:r>
          </w:p>
        </w:tc>
        <w:tc>
          <w:tcPr>
            <w:tcW w:type="dxa" w:w="2351"/>
          </w:tcPr>
          <w:p>
            <w:r>
              <w:t>utilizador, IP, ação</w:t>
            </w:r>
          </w:p>
        </w:tc>
        <w:tc>
          <w:tcPr>
            <w:tcW w:type="dxa" w:w="2351"/>
          </w:tcPr>
          <w:p>
            <w:r>
              <w:t>5 anos</w:t>
            </w:r>
          </w:p>
        </w:tc>
      </w:tr>
      <w:tr>
        <w:tc>
          <w:tcPr>
            <w:tcW w:type="dxa" w:w="2351"/>
          </w:tcPr>
          <w:p>
            <w:r>
              <w:t>Reclamação</w:t>
            </w:r>
          </w:p>
        </w:tc>
        <w:tc>
          <w:tcPr>
            <w:tcW w:type="dxa" w:w="2351"/>
          </w:tcPr>
          <w:p>
            <w:r>
              <w:t>Submetida via canal queixa</w:t>
            </w:r>
          </w:p>
        </w:tc>
        <w:tc>
          <w:tcPr>
            <w:tcW w:type="dxa" w:w="2351"/>
          </w:tcPr>
          <w:p>
            <w:r>
              <w:t>tipo, sistema, resolução</w:t>
            </w:r>
          </w:p>
        </w:tc>
        <w:tc>
          <w:tcPr>
            <w:tcW w:type="dxa" w:w="2351"/>
          </w:tcPr>
          <w:p>
            <w:r>
              <w:t>10 anos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Arquitetura de logging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Coleta</w:t>
            </w:r>
          </w:p>
        </w:tc>
        <w:tc>
          <w:tcPr>
            <w:tcW w:type="dxa" w:w="6236"/>
          </w:tcPr>
          <w:p>
            <w:r>
              <w:t>Aplicação → Kafka (5 brokers) → ingestão centralizada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Storage hot (90 dias)</w:t>
            </w:r>
          </w:p>
        </w:tc>
        <w:tc>
          <w:tcPr>
            <w:tcW w:type="dxa" w:w="6236"/>
          </w:tcPr>
          <w:p>
            <w:r>
              <w:t>PostgreSQL + Elasticsearch (queries rápidas)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Storage cold (10 anos)</w:t>
            </w:r>
          </w:p>
        </w:tc>
        <w:tc>
          <w:tcPr>
            <w:tcW w:type="dxa" w:w="6236"/>
          </w:tcPr>
          <w:p>
            <w:r>
              <w:t>AWS S3 Glacier Deep Archive - 1 região UE (Irlanda) + replicação Frankfurt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Imutabilidade</w:t>
            </w:r>
          </w:p>
        </w:tc>
        <w:tc>
          <w:tcPr>
            <w:tcW w:type="dxa" w:w="6236"/>
          </w:tcPr>
          <w:p>
            <w:r>
              <w:t>WORM (Write-Once-Read-Many) - proteção contra alteração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Encriptação</w:t>
            </w:r>
          </w:p>
        </w:tc>
        <w:tc>
          <w:tcPr>
            <w:tcW w:type="dxa" w:w="6236"/>
          </w:tcPr>
          <w:p>
            <w:r>
              <w:t>AES-256 em repouso; TLS 1.3 em trânsito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Monitorização</w:t>
            </w:r>
          </w:p>
        </w:tc>
        <w:tc>
          <w:tcPr>
            <w:tcW w:type="dxa" w:w="6236"/>
          </w:tcPr>
          <w:p>
            <w:r>
              <w:t>Dashboard Grafana 24/7; alertas para falhas de ingestão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Retenção e eliminação</w:t>
      </w:r>
    </w:p>
    <w:p>
      <w:pPr>
        <w:pStyle w:val="ListBullet"/>
        <w:ind w:left="283"/>
      </w:pPr>
      <w:r>
        <w:rPr>
          <w:sz w:val="21"/>
        </w:rPr>
        <w:t>☑  Retenção mínima 10 anos para sistemas alto risco (Art. 11(2))</w:t>
      </w:r>
    </w:p>
    <w:p>
      <w:pPr>
        <w:pStyle w:val="ListBullet"/>
        <w:ind w:left="283"/>
      </w:pPr>
      <w:r>
        <w:rPr>
          <w:sz w:val="21"/>
        </w:rPr>
        <w:t>☑  Eliminação automática após retenção (cron job + log de eliminação)</w:t>
      </w:r>
    </w:p>
    <w:p>
      <w:pPr>
        <w:pStyle w:val="ListBullet"/>
        <w:ind w:left="283"/>
      </w:pPr>
      <w:r>
        <w:rPr>
          <w:sz w:val="21"/>
        </w:rPr>
        <w:t>☑  Conservação prolongada se requerida por autoridade competente</w:t>
      </w:r>
    </w:p>
    <w:p>
      <w:pPr>
        <w:pStyle w:val="ListBullet"/>
        <w:ind w:left="283"/>
      </w:pPr>
      <w:r>
        <w:rPr>
          <w:sz w:val="21"/>
        </w:rPr>
        <w:t>☑  Não-eliminação durante investigação ativa</w:t>
      </w:r>
    </w:p>
    <w:p>
      <w:pPr>
        <w:pStyle w:val="Heading2"/>
      </w:pPr>
      <w:r>
        <w:rPr>
          <w:rFonts w:ascii="Calibri" w:hAnsi="Calibri"/>
          <w:color w:val="0F172A"/>
        </w:rPr>
        <w:t>5. Acesso e auditoria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Quem pode aceder</w:t>
            </w:r>
          </w:p>
        </w:tc>
        <w:tc>
          <w:tcPr>
            <w:tcW w:type="dxa" w:w="6236"/>
          </w:tcPr>
          <w:p>
            <w:r>
              <w:t>Maria Silva, Ana Costa, João Santos, AI Officer backup, auditores externos sob NDA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Logging do acesso</w:t>
            </w:r>
          </w:p>
        </w:tc>
        <w:tc>
          <w:tcPr>
            <w:tcW w:type="dxa" w:w="6236"/>
          </w:tcPr>
          <w:p>
            <w:r>
              <w:t>Sim - todas as queries registadas (meta-logs)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Auditoria</w:t>
            </w:r>
          </w:p>
        </w:tc>
        <w:tc>
          <w:tcPr>
            <w:tcW w:type="dxa" w:w="6236"/>
          </w:tcPr>
          <w:p>
            <w:r>
              <w:t>Trimestral interna + anual externa (KPMG)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Resposta a autoridade</w:t>
            </w:r>
          </w:p>
        </w:tc>
        <w:tc>
          <w:tcPr>
            <w:tcW w:type="dxa" w:w="6236"/>
          </w:tcPr>
          <w:p>
            <w:r>
              <w:t>ANACOM - em 5 dias úteis após pedido escrito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6. Integridade e prova</w:t>
      </w:r>
    </w:p>
    <w:p>
      <w:r>
        <w:rPr>
          <w:sz w:val="22"/>
        </w:rPr>
        <w:t>Logs são assinados (HMAC-SHA256) à ingestão. Hash diário é selado em blockchain pública (Ethereum) para prova de integridade - proof-of-existence para resposta a litígios. Custo ~€20/ano.</w:t>
      </w:r>
    </w:p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