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Marcação de Conteúdo Sintético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Conforme Art. 50(2) e 50(4)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50(2), 50(4)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Marcação de Conteúdo Sintético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Aplicável a outputs do CodeAssist GPAI e a quaisquer conteúdos gerados por IA na TechMed Solutions, S.A..</w:t>
      </w:r>
    </w:p>
    <w:p>
      <w:pPr>
        <w:pStyle w:val="Heading2"/>
      </w:pPr>
      <w:r>
        <w:rPr>
          <w:rFonts w:ascii="Calibri" w:hAnsi="Calibri"/>
          <w:color w:val="0F172A"/>
        </w:rPr>
        <w:t>1. Tipos de conteúdo abrangido</w:t>
      </w:r>
    </w:p>
    <w:p>
      <w:pPr>
        <w:pStyle w:val="ListBullet"/>
        <w:ind w:left="283"/>
      </w:pPr>
      <w:r>
        <w:rPr>
          <w:sz w:val="21"/>
        </w:rPr>
        <w:t>☑  Áudio gerado/manipulado por IA (raro na TechMed - apenas formação interna)</w:t>
      </w:r>
    </w:p>
    <w:p>
      <w:pPr>
        <w:pStyle w:val="ListBullet"/>
        <w:ind w:left="283"/>
      </w:pPr>
      <w:r>
        <w:rPr>
          <w:sz w:val="21"/>
        </w:rPr>
        <w:t>☑  Imagem gerada/manipulada por IA (incluindo deepfakes - proibidos exceto contexto satírico declarado)</w:t>
      </w:r>
    </w:p>
    <w:p>
      <w:pPr>
        <w:pStyle w:val="ListBullet"/>
        <w:ind w:left="283"/>
      </w:pPr>
      <w:r>
        <w:rPr>
          <w:sz w:val="21"/>
        </w:rPr>
        <w:t>☑  Vídeo gerado/manipulado por IA</w:t>
      </w:r>
    </w:p>
    <w:p>
      <w:pPr>
        <w:pStyle w:val="ListBullet"/>
        <w:ind w:left="283"/>
      </w:pPr>
      <w:r>
        <w:rPr>
          <w:sz w:val="21"/>
        </w:rPr>
        <w:t>☑  Texto gerado por IA publicado para informar o público sobre questões de interesse público</w:t>
      </w:r>
    </w:p>
    <w:p>
      <w:pPr>
        <w:pStyle w:val="ListBullet"/>
        <w:ind w:left="283"/>
      </w:pPr>
      <w:r>
        <w:rPr>
          <w:sz w:val="21"/>
        </w:rPr>
        <w:t>☑  Código gerado pelo CodeAssist (marcação opcional mas recomendada em commit message)</w:t>
      </w:r>
    </w:p>
    <w:p>
      <w:pPr>
        <w:pStyle w:val="Heading2"/>
      </w:pPr>
      <w:r>
        <w:rPr>
          <w:rFonts w:ascii="Calibri" w:hAnsi="Calibri"/>
          <w:color w:val="0F172A"/>
        </w:rPr>
        <w:t>2. Marcação técnica (Art. 50(2))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Tecnologia (imagem)</w:t>
            </w:r>
          </w:p>
        </w:tc>
        <w:tc>
          <w:tcPr>
            <w:tcW w:type="dxa" w:w="6236"/>
          </w:tcPr>
          <w:p>
            <w:r>
              <w:t>C2PA (Content Authenticity Initiative) v1.4 - assinatura criptográfica embebida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Tecnologia (texto)</w:t>
            </w:r>
          </w:p>
        </w:tc>
        <w:tc>
          <w:tcPr>
            <w:tcW w:type="dxa" w:w="6236"/>
          </w:tcPr>
          <w:p>
            <w:r>
              <w:t>Watermark estatístico (SynthID-style) + metadados HTTP X-Generated-By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Robustez</w:t>
            </w:r>
          </w:p>
        </w:tc>
        <w:tc>
          <w:tcPr>
            <w:tcW w:type="dxa" w:w="6236"/>
          </w:tcPr>
          <w:p>
            <w:r>
              <w:t>Sobrevive a recortes, recompressão JPEG até qualidade 60%, conversão de formato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Documentação</w:t>
            </w:r>
          </w:p>
        </w:tc>
        <w:tc>
          <w:tcPr>
            <w:tcW w:type="dxa" w:w="6236"/>
          </w:tcPr>
          <w:p>
            <w:r>
              <w:t>Spec MARK-001 v1.0 disponível ao público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Aviso visível ao utilizador final (Art. 50(4))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Caso de uso</w:t>
            </w:r>
          </w:p>
        </w:tc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Aviso aplicado</w:t>
            </w:r>
          </w:p>
        </w:tc>
      </w:tr>
      <w:tr>
        <w:tc>
          <w:tcPr>
            <w:tcW w:type="dxa" w:w="4703"/>
          </w:tcPr>
          <w:p>
            <w:r>
              <w:t>Imagem em comunicação institucional</w:t>
            </w:r>
          </w:p>
        </w:tc>
        <w:tc>
          <w:tcPr>
            <w:tcW w:type="dxa" w:w="4703"/>
          </w:tcPr>
          <w:p>
            <w:r>
              <w:t>Etiqueta inferior "Imagem gerada por IA" + ícone (40px)</w:t>
            </w:r>
          </w:p>
        </w:tc>
      </w:tr>
      <w:tr>
        <w:tc>
          <w:tcPr>
            <w:tcW w:type="dxa" w:w="4703"/>
          </w:tcPr>
          <w:p>
            <w:r>
              <w:t>Texto em comunicação pública</w:t>
            </w:r>
          </w:p>
        </w:tc>
        <w:tc>
          <w:tcPr>
            <w:tcW w:type="dxa" w:w="4703"/>
          </w:tcPr>
          <w:p>
            <w:r>
              <w:t>Disclaimer no início "Este conteúdo foi parcialmente gerado por IA e revisto editorialmente"</w:t>
            </w:r>
          </w:p>
        </w:tc>
      </w:tr>
      <w:tr>
        <w:tc>
          <w:tcPr>
            <w:tcW w:type="dxa" w:w="4703"/>
          </w:tcPr>
          <w:p>
            <w:r>
              <w:t>Vídeo de formação interna</w:t>
            </w:r>
          </w:p>
        </w:tc>
        <w:tc>
          <w:tcPr>
            <w:tcW w:type="dxa" w:w="4703"/>
          </w:tcPr>
          <w:p>
            <w:r>
              <w:t>Watermark permanente "Demo IA" no canto superior</w:t>
            </w:r>
          </w:p>
        </w:tc>
      </w:tr>
      <w:tr>
        <w:tc>
          <w:tcPr>
            <w:tcW w:type="dxa" w:w="4703"/>
          </w:tcPr>
          <w:p>
            <w:r>
              <w:t>Output do CodeAssist em PR</w:t>
            </w:r>
          </w:p>
        </w:tc>
        <w:tc>
          <w:tcPr>
            <w:tcW w:type="dxa" w:w="4703"/>
          </w:tcPr>
          <w:p>
            <w:r>
              <w:t>Trailer no commit message "// Generated with CodeAssist GPAI v1.0"</w:t>
            </w:r>
          </w:p>
        </w:tc>
      </w:tr>
      <w:tr>
        <w:tc>
          <w:tcPr>
            <w:tcW w:type="dxa" w:w="4703"/>
          </w:tcPr>
          <w:p>
            <w:r>
              <w:t>Avatar virtual em help-desk</w:t>
            </w:r>
          </w:p>
        </w:tc>
        <w:tc>
          <w:tcPr>
            <w:tcW w:type="dxa" w:w="4703"/>
          </w:tcPr>
          <w:p>
            <w:r>
              <w:t>Saudação inicial: "Sou um assistente de IA. Está a interagir com um sistema automático."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Exceções</w:t>
      </w:r>
    </w:p>
    <w:p>
      <w:pPr>
        <w:pStyle w:val="ListBullet"/>
        <w:ind w:left="283"/>
      </w:pPr>
      <w:r>
        <w:rPr>
          <w:sz w:val="21"/>
        </w:rPr>
        <w:t>☐  Aplicação da lei (não aplicável à TechMed)</w:t>
      </w:r>
    </w:p>
    <w:p>
      <w:pPr>
        <w:pStyle w:val="ListBullet"/>
        <w:ind w:left="283"/>
      </w:pPr>
      <w:r>
        <w:rPr>
          <w:sz w:val="21"/>
        </w:rPr>
        <w:t>☑  Conteúdo artístico, criativo, satírico - divulgação ainda obrigatória mas não-prejudicial à fruição</w:t>
      </w:r>
    </w:p>
    <w:p>
      <w:pPr>
        <w:pStyle w:val="ListBullet"/>
        <w:ind w:left="283"/>
      </w:pPr>
      <w:r>
        <w:rPr>
          <w:sz w:val="21"/>
        </w:rPr>
        <w:t>☐  Trabalho colaborativo onde a IA é assistente menor (&gt;50% input humano) - disclaimer simplificado</w:t>
      </w:r>
    </w:p>
    <w:p>
      <w:pPr>
        <w:pStyle w:val="Heading2"/>
      </w:pPr>
      <w:r>
        <w:rPr>
          <w:rFonts w:ascii="Calibri" w:hAnsi="Calibri"/>
          <w:color w:val="0F172A"/>
        </w:rPr>
        <w:t>5. Responsável e auditoria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Responsável política</w:t>
            </w:r>
          </w:p>
        </w:tc>
        <w:tc>
          <w:tcPr>
            <w:tcW w:type="dxa" w:w="6236"/>
          </w:tcPr>
          <w:p>
            <w:r>
              <w:t>Maria Silva (AI Officer)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Auditoria</w:t>
            </w:r>
          </w:p>
        </w:tc>
        <w:tc>
          <w:tcPr>
            <w:tcW w:type="dxa" w:w="6236"/>
          </w:tcPr>
          <w:p>
            <w:r>
              <w:t>Trimestral - amostra de 50 outputs verificados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auditoria</w:t>
            </w:r>
          </w:p>
        </w:tc>
        <w:tc>
          <w:tcPr>
            <w:tcW w:type="dxa" w:w="6236"/>
          </w:tcPr>
          <w:p>
            <w:r>
              <w:t>2026-03-15: 49/50 conformes (1 erro de etiqueta corrigido)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auditoria</w:t>
            </w:r>
          </w:p>
        </w:tc>
        <w:tc>
          <w:tcPr>
            <w:tcW w:type="dxa" w:w="6236"/>
          </w:tcPr>
          <w:p>
            <w:r>
              <w:t>2026-06-15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