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Política de Retenção de Dados de Treino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POL-DATA-RET-001 v1.0 - Conforme Art. 10 + RGPD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10 + RGPD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Política de Retenção de Dados de Treino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Política institucional. Aplicável a todos os datasets usados nos sistemas IA da TechMed Solutions, S.A..</w:t>
      </w:r>
    </w:p>
    <w:p>
      <w:pPr>
        <w:pStyle w:val="Heading2"/>
      </w:pPr>
      <w:r>
        <w:rPr>
          <w:rFonts w:ascii="Calibri" w:hAnsi="Calibri"/>
          <w:color w:val="0F172A"/>
        </w:rPr>
        <w:t>1. Princípios</w:t>
      </w:r>
    </w:p>
    <w:p>
      <w:r>
        <w:rPr>
          <w:sz w:val="22"/>
        </w:rPr>
        <w:t>A retenção de dados de treino respeita: (i) minimização (RGPD Art. 5(1)(c)); (ii) proporcionalidade ao propósito; (iii) reversibilidade (acesso a sujeitos dos dados); (iv) segurança (encriptação, controlo de acesso).</w:t>
      </w:r>
    </w:p>
    <w:p>
      <w:pPr>
        <w:pStyle w:val="Heading2"/>
      </w:pPr>
      <w:r>
        <w:rPr>
          <w:rFonts w:ascii="Calibri" w:hAnsi="Calibri"/>
          <w:color w:val="0F172A"/>
        </w:rPr>
        <w:t>2. Períodos de retenção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Categoria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Retenção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Base</w:t>
            </w:r>
          </w:p>
        </w:tc>
      </w:tr>
      <w:tr>
        <w:tc>
          <w:tcPr>
            <w:tcW w:type="dxa" w:w="3135"/>
          </w:tcPr>
          <w:p>
            <w:r>
              <w:t>Dados clínicos identificáveis</w:t>
            </w:r>
          </w:p>
        </w:tc>
        <w:tc>
          <w:tcPr>
            <w:tcW w:type="dxa" w:w="3135"/>
          </w:tcPr>
          <w:p>
            <w:r>
              <w:t>0 (nunca recolhidos no formato identificável após anonimização)</w:t>
            </w:r>
          </w:p>
        </w:tc>
        <w:tc>
          <w:tcPr>
            <w:tcW w:type="dxa" w:w="3135"/>
          </w:tcPr>
          <w:p>
            <w:r>
              <w:t>RGPD</w:t>
            </w:r>
          </w:p>
        </w:tc>
      </w:tr>
      <w:tr>
        <w:tc>
          <w:tcPr>
            <w:tcW w:type="dxa" w:w="3135"/>
          </w:tcPr>
          <w:p>
            <w:r>
              <w:t>Dados clínicos anonimizados (treino)</w:t>
            </w:r>
          </w:p>
        </w:tc>
        <w:tc>
          <w:tcPr>
            <w:tcW w:type="dxa" w:w="3135"/>
          </w:tcPr>
          <w:p>
            <w:r>
              <w:t>5 anos após retirada do modelo</w:t>
            </w:r>
          </w:p>
        </w:tc>
        <w:tc>
          <w:tcPr>
            <w:tcW w:type="dxa" w:w="3135"/>
          </w:tcPr>
          <w:p>
            <w:r>
              <w:t>Boa prática + audição CNPD</w:t>
            </w:r>
          </w:p>
        </w:tc>
      </w:tr>
      <w:tr>
        <w:tc>
          <w:tcPr>
            <w:tcW w:type="dxa" w:w="3135"/>
          </w:tcPr>
          <w:p>
            <w:r>
              <w:t>CVs em HR-Match</w:t>
            </w:r>
          </w:p>
        </w:tc>
        <w:tc>
          <w:tcPr>
            <w:tcW w:type="dxa" w:w="3135"/>
          </w:tcPr>
          <w:p>
            <w:r>
              <w:t>5 anos (alinhado com retenção legal)</w:t>
            </w:r>
          </w:p>
        </w:tc>
        <w:tc>
          <w:tcPr>
            <w:tcW w:type="dxa" w:w="3135"/>
          </w:tcPr>
          <w:p>
            <w:r>
              <w:t>Lei trabalho + RGPD</w:t>
            </w:r>
          </w:p>
        </w:tc>
      </w:tr>
      <w:tr>
        <w:tc>
          <w:tcPr>
            <w:tcW w:type="dxa" w:w="3135"/>
          </w:tcPr>
          <w:p>
            <w:r>
              <w:t>Logs de inferência (Art. 12)</w:t>
            </w:r>
          </w:p>
        </w:tc>
        <w:tc>
          <w:tcPr>
            <w:tcW w:type="dxa" w:w="3135"/>
          </w:tcPr>
          <w:p>
            <w:r>
              <w:t>10 anos após colocação no mercado</w:t>
            </w:r>
          </w:p>
        </w:tc>
        <w:tc>
          <w:tcPr>
            <w:tcW w:type="dxa" w:w="3135"/>
          </w:tcPr>
          <w:p>
            <w:r>
              <w:t>Art. 11(2) + 12</w:t>
            </w:r>
          </w:p>
        </w:tc>
      </w:tr>
      <w:tr>
        <w:tc>
          <w:tcPr>
            <w:tcW w:type="dxa" w:w="3135"/>
          </w:tcPr>
          <w:p>
            <w:r>
              <w:t>Outputs de sistemas alto risco</w:t>
            </w:r>
          </w:p>
        </w:tc>
        <w:tc>
          <w:tcPr>
            <w:tcW w:type="dxa" w:w="3135"/>
          </w:tcPr>
          <w:p>
            <w:r>
              <w:t>10 anos (mesmo período)</w:t>
            </w:r>
          </w:p>
        </w:tc>
        <w:tc>
          <w:tcPr>
            <w:tcW w:type="dxa" w:w="3135"/>
          </w:tcPr>
          <w:p>
            <w:r>
              <w:t>Art. 11(2)</w:t>
            </w:r>
          </w:p>
        </w:tc>
      </w:tr>
      <w:tr>
        <w:tc>
          <w:tcPr>
            <w:tcW w:type="dxa" w:w="3135"/>
          </w:tcPr>
          <w:p>
            <w:r>
              <w:t>Modelos treinados (pesos)</w:t>
            </w:r>
          </w:p>
        </w:tc>
        <w:tc>
          <w:tcPr>
            <w:tcW w:type="dxa" w:w="3135"/>
          </w:tcPr>
          <w:p>
            <w:r>
              <w:t>10 anos pós retirada</w:t>
            </w:r>
          </w:p>
        </w:tc>
        <w:tc>
          <w:tcPr>
            <w:tcW w:type="dxa" w:w="3135"/>
          </w:tcPr>
          <w:p>
            <w:r>
              <w:t>Boa prática (rollback)</w:t>
            </w:r>
          </w:p>
        </w:tc>
      </w:tr>
      <w:tr>
        <w:tc>
          <w:tcPr>
            <w:tcW w:type="dxa" w:w="3135"/>
          </w:tcPr>
          <w:p>
            <w:r>
              <w:t>Documentação de treino (DPA, fontes, métricas)</w:t>
            </w:r>
          </w:p>
        </w:tc>
        <w:tc>
          <w:tcPr>
            <w:tcW w:type="dxa" w:w="3135"/>
          </w:tcPr>
          <w:p>
            <w:r>
              <w:t>10 anos pós retirada</w:t>
            </w:r>
          </w:p>
        </w:tc>
        <w:tc>
          <w:tcPr>
            <w:tcW w:type="dxa" w:w="3135"/>
          </w:tcPr>
          <w:p>
            <w:r>
              <w:t>Art. 11(2)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Eliminação</w:t>
      </w:r>
    </w:p>
    <w:p>
      <w:pPr>
        <w:pStyle w:val="ListBullet"/>
        <w:ind w:left="283"/>
      </w:pPr>
      <w:r>
        <w:rPr>
          <w:sz w:val="21"/>
        </w:rPr>
        <w:t>☑  Eliminação automática após retenção (cron job + log de eliminação)</w:t>
      </w:r>
    </w:p>
    <w:p>
      <w:pPr>
        <w:pStyle w:val="ListBullet"/>
        <w:ind w:left="283"/>
      </w:pPr>
      <w:r>
        <w:rPr>
          <w:sz w:val="21"/>
        </w:rPr>
        <w:t>☑  Procedimento certificado (NIST 800-88 - método purge)</w:t>
      </w:r>
    </w:p>
    <w:p>
      <w:pPr>
        <w:pStyle w:val="ListBullet"/>
        <w:ind w:left="283"/>
      </w:pPr>
      <w:r>
        <w:rPr>
          <w:sz w:val="21"/>
        </w:rPr>
        <w:t>☑  Múltiplas réplicas e backups eliminados</w:t>
      </w:r>
    </w:p>
    <w:p>
      <w:pPr>
        <w:pStyle w:val="ListBullet"/>
        <w:ind w:left="283"/>
      </w:pPr>
      <w:r>
        <w:rPr>
          <w:sz w:val="21"/>
        </w:rPr>
        <w:t>☑  Confirmação documentada e auditada</w:t>
      </w:r>
    </w:p>
    <w:p>
      <w:pPr>
        <w:pStyle w:val="ListBullet"/>
        <w:ind w:left="283"/>
      </w:pPr>
      <w:r>
        <w:rPr>
          <w:sz w:val="21"/>
        </w:rPr>
        <w:t>☑  Direito de eliminação antecipada por pedido de sujeito (RGPD Art. 17 - caso a caso)</w:t>
      </w:r>
    </w:p>
    <w:p>
      <w:pPr>
        <w:pStyle w:val="Heading2"/>
      </w:pPr>
      <w:r>
        <w:rPr>
          <w:rFonts w:ascii="Calibri" w:hAnsi="Calibri"/>
          <w:color w:val="0F172A"/>
        </w:rPr>
        <w:t>4. Exceções e suspensões</w:t>
      </w:r>
    </w:p>
    <w:p>
      <w:r>
        <w:rPr>
          <w:sz w:val="22"/>
        </w:rPr>
        <w:t>A eliminação é suspensa quando: (i) investigação legal/judicial em curso; (ii) pedido de autoridade competente; (iii) auditoria/avaliação de conformidade ativa. A suspensão é revista mensalmente.</w:t>
      </w:r>
    </w:p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