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Política de Teste de Sistemas de IA de Alto Risco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Testes pré-implementação e validação contínua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9 + 17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Política de Teste de Sistemas de IA de Alto Risco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Política aplicável aos 2 sistemas alto risco da TechMed Solutions, S.A. (MedTriage, HR-Match).</w:t>
      </w:r>
    </w:p>
    <w:p>
      <w:pPr>
        <w:pStyle w:val="Heading2"/>
      </w:pPr>
      <w:r>
        <w:rPr>
          <w:rFonts w:ascii="Calibri" w:hAnsi="Calibri"/>
          <w:color w:val="0F172A"/>
        </w:rPr>
        <w:t>1. Tipos de teste - exigências e métricas reais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Tipo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Quando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Métrica/limiar (real)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Critério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Ferramenta</w:t>
            </w:r>
          </w:p>
        </w:tc>
      </w:tr>
      <w:tr>
        <w:tc>
          <w:tcPr>
            <w:tcW w:type="dxa" w:w="1881"/>
          </w:tcPr>
          <w:p>
            <w:r>
              <w:t>Funcional</w:t>
            </w:r>
          </w:p>
        </w:tc>
        <w:tc>
          <w:tcPr>
            <w:tcW w:type="dxa" w:w="1881"/>
          </w:tcPr>
          <w:p>
            <w:r>
              <w:t>Pré-release (cada PR)</w:t>
            </w:r>
          </w:p>
        </w:tc>
        <w:tc>
          <w:tcPr>
            <w:tcW w:type="dxa" w:w="1881"/>
          </w:tcPr>
          <w:p>
            <w:r>
              <w:t>Cobertura testes ≥85%, todos os requisitos funcionais OK</w:t>
            </w:r>
          </w:p>
        </w:tc>
        <w:tc>
          <w:tcPr>
            <w:tcW w:type="dxa" w:w="1881"/>
          </w:tcPr>
          <w:p>
            <w:r>
              <w:t>Bloqueia merge</w:t>
            </w:r>
          </w:p>
        </w:tc>
        <w:tc>
          <w:tcPr>
            <w:tcW w:type="dxa" w:w="1881"/>
          </w:tcPr>
          <w:p>
            <w:r>
              <w:t>GitHub Actions CI</w:t>
            </w:r>
          </w:p>
        </w:tc>
      </w:tr>
      <w:tr>
        <w:tc>
          <w:tcPr>
            <w:tcW w:type="dxa" w:w="1881"/>
          </w:tcPr>
          <w:p>
            <w:r>
              <w:t>Exatidão</w:t>
            </w:r>
          </w:p>
        </w:tc>
        <w:tc>
          <w:tcPr>
            <w:tcW w:type="dxa" w:w="1881"/>
          </w:tcPr>
          <w:p>
            <w:r>
              <w:t>Pré-release + trimestral</w:t>
            </w:r>
          </w:p>
        </w:tc>
        <w:tc>
          <w:tcPr>
            <w:tcW w:type="dxa" w:w="1881"/>
          </w:tcPr>
          <w:p>
            <w:r>
              <w:t>AUC-PR ≥ 0.92 (MedTriage), F1 ≥ 0.85 (HR-Match)</w:t>
            </w:r>
          </w:p>
        </w:tc>
        <w:tc>
          <w:tcPr>
            <w:tcW w:type="dxa" w:w="1881"/>
          </w:tcPr>
          <w:p>
            <w:r>
              <w:t>Bloqueia release</w:t>
            </w:r>
          </w:p>
        </w:tc>
        <w:tc>
          <w:tcPr>
            <w:tcW w:type="dxa" w:w="1881"/>
          </w:tcPr>
          <w:p>
            <w:r>
              <w:t>MLflow + dashboard</w:t>
            </w:r>
          </w:p>
        </w:tc>
      </w:tr>
      <w:tr>
        <w:tc>
          <w:tcPr>
            <w:tcW w:type="dxa" w:w="1881"/>
          </w:tcPr>
          <w:p>
            <w:r>
              <w:t>Robustez</w:t>
            </w:r>
          </w:p>
        </w:tc>
        <w:tc>
          <w:tcPr>
            <w:tcW w:type="dxa" w:w="1881"/>
          </w:tcPr>
          <w:p>
            <w:r>
              <w:t>Pré-release (cada model)</w:t>
            </w:r>
          </w:p>
        </w:tc>
        <w:tc>
          <w:tcPr>
            <w:tcW w:type="dxa" w:w="1881"/>
          </w:tcPr>
          <w:p>
            <w:r>
              <w:t>Drop em adversarial ≤ 5% (FGSM ε=0.05)</w:t>
            </w:r>
          </w:p>
        </w:tc>
        <w:tc>
          <w:tcPr>
            <w:tcW w:type="dxa" w:w="1881"/>
          </w:tcPr>
          <w:p>
            <w:r>
              <w:t>Bloqueia release</w:t>
            </w:r>
          </w:p>
        </w:tc>
        <w:tc>
          <w:tcPr>
            <w:tcW w:type="dxa" w:w="1881"/>
          </w:tcPr>
          <w:p>
            <w:r>
              <w:t>CleverHans suite</w:t>
            </w:r>
          </w:p>
        </w:tc>
      </w:tr>
      <w:tr>
        <w:tc>
          <w:tcPr>
            <w:tcW w:type="dxa" w:w="1881"/>
          </w:tcPr>
          <w:p>
            <w:r>
              <w:t>Cibersegurança</w:t>
            </w:r>
          </w:p>
        </w:tc>
        <w:tc>
          <w:tcPr>
            <w:tcW w:type="dxa" w:w="1881"/>
          </w:tcPr>
          <w:p>
            <w:r>
              <w:t>Anual (KPMG) + por release</w:t>
            </w:r>
          </w:p>
        </w:tc>
        <w:tc>
          <w:tcPr>
            <w:tcW w:type="dxa" w:w="1881"/>
          </w:tcPr>
          <w:p>
            <w:r>
              <w:t>0 vulnerabilidades CVSS≥7</w:t>
            </w:r>
          </w:p>
        </w:tc>
        <w:tc>
          <w:tcPr>
            <w:tcW w:type="dxa" w:w="1881"/>
          </w:tcPr>
          <w:p>
            <w:r>
              <w:t>Crítica = bloqueio</w:t>
            </w:r>
          </w:p>
        </w:tc>
        <w:tc>
          <w:tcPr>
            <w:tcW w:type="dxa" w:w="1881"/>
          </w:tcPr>
          <w:p>
            <w:r>
              <w:t>OWASP ZAP + Burp</w:t>
            </w:r>
          </w:p>
        </w:tc>
      </w:tr>
      <w:tr>
        <w:tc>
          <w:tcPr>
            <w:tcW w:type="dxa" w:w="1881"/>
          </w:tcPr>
          <w:p>
            <w:r>
              <w:t>Viés</w:t>
            </w:r>
          </w:p>
        </w:tc>
        <w:tc>
          <w:tcPr>
            <w:tcW w:type="dxa" w:w="1881"/>
          </w:tcPr>
          <w:p>
            <w:r>
              <w:t>Mensal + por release</w:t>
            </w:r>
          </w:p>
        </w:tc>
        <w:tc>
          <w:tcPr>
            <w:tcW w:type="dxa" w:w="1881"/>
          </w:tcPr>
          <w:p>
            <w:r>
              <w:t>DI [0.8,1.25], EOD ≤ 0.05 por subgrupo</w:t>
            </w:r>
          </w:p>
        </w:tc>
        <w:tc>
          <w:tcPr>
            <w:tcW w:type="dxa" w:w="1881"/>
          </w:tcPr>
          <w:p>
            <w:r>
              <w:t>Bloqueia release</w:t>
            </w:r>
          </w:p>
        </w:tc>
        <w:tc>
          <w:tcPr>
            <w:tcW w:type="dxa" w:w="1881"/>
          </w:tcPr>
          <w:p>
            <w:r>
              <w:t>Aequitas + Fairlearn</w:t>
            </w:r>
          </w:p>
        </w:tc>
      </w:tr>
      <w:tr>
        <w:tc>
          <w:tcPr>
            <w:tcW w:type="dxa" w:w="1881"/>
          </w:tcPr>
          <w:p>
            <w:r>
              <w:t>Privacidade</w:t>
            </w:r>
          </w:p>
        </w:tc>
        <w:tc>
          <w:tcPr>
            <w:tcW w:type="dxa" w:w="1881"/>
          </w:tcPr>
          <w:p>
            <w:r>
              <w:t>Pré-release</w:t>
            </w:r>
          </w:p>
        </w:tc>
        <w:tc>
          <w:tcPr>
            <w:tcW w:type="dxa" w:w="1881"/>
          </w:tcPr>
          <w:p>
            <w:r>
              <w:t>0 PII leakage em outputs</w:t>
            </w:r>
          </w:p>
        </w:tc>
        <w:tc>
          <w:tcPr>
            <w:tcW w:type="dxa" w:w="1881"/>
          </w:tcPr>
          <w:p>
            <w:r>
              <w:t>Bloqueia release</w:t>
            </w:r>
          </w:p>
        </w:tc>
        <w:tc>
          <w:tcPr>
            <w:tcW w:type="dxa" w:w="1881"/>
          </w:tcPr>
          <w:p>
            <w:r>
              <w:t>Presidio + custom rules</w:t>
            </w:r>
          </w:p>
        </w:tc>
      </w:tr>
      <w:tr>
        <w:tc>
          <w:tcPr>
            <w:tcW w:type="dxa" w:w="1881"/>
          </w:tcPr>
          <w:p>
            <w:r>
              <w:t>Fairness por subgrupo</w:t>
            </w:r>
          </w:p>
        </w:tc>
        <w:tc>
          <w:tcPr>
            <w:tcW w:type="dxa" w:w="1881"/>
          </w:tcPr>
          <w:p>
            <w:r>
              <w:t>Por release</w:t>
            </w:r>
          </w:p>
        </w:tc>
        <w:tc>
          <w:tcPr>
            <w:tcW w:type="dxa" w:w="1881"/>
          </w:tcPr>
          <w:p>
            <w:r>
              <w:t>Variação inter-grupo ≤ 5% acuracy</w:t>
            </w:r>
          </w:p>
        </w:tc>
        <w:tc>
          <w:tcPr>
            <w:tcW w:type="dxa" w:w="1881"/>
          </w:tcPr>
          <w:p>
            <w:r>
              <w:t>Bloqueia release</w:t>
            </w:r>
          </w:p>
        </w:tc>
        <w:tc>
          <w:tcPr>
            <w:tcW w:type="dxa" w:w="1881"/>
          </w:tcPr>
          <w:p>
            <w:r>
              <w:t>Auditoria interna</w:t>
            </w:r>
          </w:p>
        </w:tc>
      </w:tr>
      <w:tr>
        <w:tc>
          <w:tcPr>
            <w:tcW w:type="dxa" w:w="1881"/>
          </w:tcPr>
          <w:p>
            <w:r>
              <w:t>Drift</w:t>
            </w:r>
          </w:p>
        </w:tc>
        <w:tc>
          <w:tcPr>
            <w:tcW w:type="dxa" w:w="1881"/>
          </w:tcPr>
          <w:p>
            <w:r>
              <w:t>Diário (auto)</w:t>
            </w:r>
          </w:p>
        </w:tc>
        <w:tc>
          <w:tcPr>
            <w:tcW w:type="dxa" w:w="1881"/>
          </w:tcPr>
          <w:p>
            <w:r>
              <w:t>PSI ≤ 0.20 global, ≤ 0.15 por subgrupo</w:t>
            </w:r>
          </w:p>
        </w:tc>
        <w:tc>
          <w:tcPr>
            <w:tcW w:type="dxa" w:w="1881"/>
          </w:tcPr>
          <w:p>
            <w:r>
              <w:t>Alerta + investigação</w:t>
            </w:r>
          </w:p>
        </w:tc>
        <w:tc>
          <w:tcPr>
            <w:tcW w:type="dxa" w:w="1881"/>
          </w:tcPr>
          <w:p>
            <w:r>
              <w:t>Evidently AI</w:t>
            </w:r>
          </w:p>
        </w:tc>
      </w:tr>
      <w:tr>
        <w:tc>
          <w:tcPr>
            <w:tcW w:type="dxa" w:w="1881"/>
          </w:tcPr>
          <w:p>
            <w:r>
              <w:t>Explicabilidade</w:t>
            </w:r>
          </w:p>
        </w:tc>
        <w:tc>
          <w:tcPr>
            <w:tcW w:type="dxa" w:w="1881"/>
          </w:tcPr>
          <w:p>
            <w:r>
              <w:t>Por release</w:t>
            </w:r>
          </w:p>
        </w:tc>
        <w:tc>
          <w:tcPr>
            <w:tcW w:type="dxa" w:w="1881"/>
          </w:tcPr>
          <w:p>
            <w:r>
              <w:t>SHAP top-3 razões disponíveis em ≥95% inferências</w:t>
            </w:r>
          </w:p>
        </w:tc>
        <w:tc>
          <w:tcPr>
            <w:tcW w:type="dxa" w:w="1881"/>
          </w:tcPr>
          <w:p>
            <w:r>
              <w:t>Bloqueia release</w:t>
            </w:r>
          </w:p>
        </w:tc>
        <w:tc>
          <w:tcPr>
            <w:tcW w:type="dxa" w:w="1881"/>
          </w:tcPr>
          <w:p>
            <w:r>
              <w:t>SHAP integrado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Ambientes de teste</w:t>
      </w:r>
    </w:p>
    <w:p>
      <w:pPr>
        <w:pStyle w:val="ListBullet"/>
        <w:ind w:left="283"/>
      </w:pPr>
      <w:r>
        <w:rPr>
          <w:sz w:val="21"/>
        </w:rPr>
        <w:t>☑  Dev: laptops developers + namespace K8s isolado (sem dados produção)</w:t>
      </w:r>
    </w:p>
    <w:p>
      <w:pPr>
        <w:pStyle w:val="ListBullet"/>
        <w:ind w:left="283"/>
      </w:pPr>
      <w:r>
        <w:rPr>
          <w:sz w:val="21"/>
        </w:rPr>
        <w:t>☑  Staging: espelho de produção, dados sintéticos + 5% real anonimizado</w:t>
      </w:r>
    </w:p>
    <w:p>
      <w:pPr>
        <w:pStyle w:val="ListBullet"/>
        <w:ind w:left="283"/>
      </w:pPr>
      <w:r>
        <w:rPr>
          <w:sz w:val="21"/>
        </w:rPr>
        <w:t>☐  Sandbox regulatória: previsto para 2026-Q4 (Art. 57 - após designação ANACOM)</w:t>
      </w:r>
    </w:p>
    <w:p>
      <w:pPr>
        <w:pStyle w:val="ListBullet"/>
        <w:ind w:left="283"/>
      </w:pPr>
      <w:r>
        <w:rPr>
          <w:sz w:val="21"/>
        </w:rPr>
        <w:t>☑  Testes em condições reais: aprovação Comité IA + monitorização contínua</w:t>
      </w:r>
    </w:p>
    <w:p>
      <w:pPr>
        <w:pStyle w:val="Heading2"/>
      </w:pPr>
      <w:r>
        <w:rPr>
          <w:rFonts w:ascii="Calibri" w:hAnsi="Calibri"/>
          <w:color w:val="0F172A"/>
        </w:rPr>
        <w:t>3. Documentação obrigatória por release</w:t>
      </w:r>
    </w:p>
    <w:p>
      <w:pPr>
        <w:pStyle w:val="ListBullet"/>
        <w:ind w:left="283"/>
      </w:pPr>
      <w:r>
        <w:rPr>
          <w:sz w:val="21"/>
        </w:rPr>
        <w:t>☑  Plano de teste assinado pelo Owner + AI Officer</w:t>
      </w:r>
    </w:p>
    <w:p>
      <w:pPr>
        <w:pStyle w:val="ListBullet"/>
        <w:ind w:left="283"/>
      </w:pPr>
      <w:r>
        <w:rPr>
          <w:sz w:val="21"/>
        </w:rPr>
        <w:t>☑  Resultados detalhados em MLflow (run_id reproducível)</w:t>
      </w:r>
    </w:p>
    <w:p>
      <w:pPr>
        <w:pStyle w:val="ListBullet"/>
        <w:ind w:left="283"/>
      </w:pPr>
      <w:r>
        <w:rPr>
          <w:sz w:val="21"/>
        </w:rPr>
        <w:t>☑  Relatórios de viés e fairness anexados ao Release Notes</w:t>
      </w:r>
    </w:p>
    <w:p>
      <w:pPr>
        <w:pStyle w:val="ListBullet"/>
        <w:ind w:left="283"/>
      </w:pPr>
      <w:r>
        <w:rPr>
          <w:sz w:val="21"/>
        </w:rPr>
        <w:t>☑  Aprovação formal pelo Comité IA registada em acta</w:t>
      </w:r>
    </w:p>
    <w:p>
      <w:pPr>
        <w:pStyle w:val="ListBullet"/>
        <w:ind w:left="283"/>
      </w:pPr>
      <w:r>
        <w:rPr>
          <w:sz w:val="21"/>
        </w:rPr>
        <w:t>☑  Atualização da documentação técnica (Anexo IV)</w:t>
      </w:r>
    </w:p>
    <w:p>
      <w:pPr>
        <w:pStyle w:val="Heading2"/>
      </w:pPr>
      <w:r>
        <w:rPr>
          <w:rFonts w:ascii="Calibri" w:hAnsi="Calibri"/>
          <w:color w:val="0F172A"/>
        </w:rPr>
        <w:t>4. Histórico recente - MedTriage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Estado testes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Incidentes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Decisão</w:t>
            </w:r>
          </w:p>
        </w:tc>
      </w:tr>
      <w:tr>
        <w:tc>
          <w:tcPr>
            <w:tcW w:type="dxa" w:w="1881"/>
          </w:tcPr>
          <w:p>
            <w:r>
              <w:t>v3.2.1</w:t>
            </w:r>
          </w:p>
        </w:tc>
        <w:tc>
          <w:tcPr>
            <w:tcW w:type="dxa" w:w="1881"/>
          </w:tcPr>
          <w:p>
            <w:r>
              <w:t>2026-03-15</w:t>
            </w:r>
          </w:p>
        </w:tc>
        <w:tc>
          <w:tcPr>
            <w:tcW w:type="dxa" w:w="1881"/>
          </w:tcPr>
          <w:p>
            <w:r>
              <w:t>✓ Todos OK</w:t>
            </w:r>
          </w:p>
        </w:tc>
        <w:tc>
          <w:tcPr>
            <w:tcW w:type="dxa" w:w="1881"/>
          </w:tcPr>
          <w:p>
            <w:r>
              <w:t>0</w:t>
            </w:r>
          </w:p>
        </w:tc>
        <w:tc>
          <w:tcPr>
            <w:tcW w:type="dxa" w:w="1881"/>
          </w:tcPr>
          <w:p>
            <w:r>
              <w:t>Release</w:t>
            </w:r>
          </w:p>
        </w:tc>
      </w:tr>
      <w:tr>
        <w:tc>
          <w:tcPr>
            <w:tcW w:type="dxa" w:w="1881"/>
          </w:tcPr>
          <w:p>
            <w:r>
              <w:t>v3.2.0</w:t>
            </w:r>
          </w:p>
        </w:tc>
        <w:tc>
          <w:tcPr>
            <w:tcW w:type="dxa" w:w="1881"/>
          </w:tcPr>
          <w:p>
            <w:r>
              <w:t>2026-03-08</w:t>
            </w:r>
          </w:p>
        </w:tc>
        <w:tc>
          <w:tcPr>
            <w:tcW w:type="dxa" w:w="1881"/>
          </w:tcPr>
          <w:p>
            <w:r>
              <w:t>✗ Drift pediátrico não detetado</w:t>
            </w:r>
          </w:p>
        </w:tc>
        <w:tc>
          <w:tcPr>
            <w:tcW w:type="dxa" w:w="1881"/>
          </w:tcPr>
          <w:p>
            <w:r>
              <w:t>1 (incident)</w:t>
            </w:r>
          </w:p>
        </w:tc>
        <w:tc>
          <w:tcPr>
            <w:tcW w:type="dxa" w:w="1881"/>
          </w:tcPr>
          <w:p>
            <w:r>
              <w:t>REVERTIDO</w:t>
            </w:r>
          </w:p>
        </w:tc>
      </w:tr>
      <w:tr>
        <w:tc>
          <w:tcPr>
            <w:tcW w:type="dxa" w:w="1881"/>
          </w:tcPr>
          <w:p>
            <w:r>
              <w:t>v3.1.4</w:t>
            </w:r>
          </w:p>
        </w:tc>
        <w:tc>
          <w:tcPr>
            <w:tcW w:type="dxa" w:w="1881"/>
          </w:tcPr>
          <w:p>
            <w:r>
              <w:t>2026-02-01</w:t>
            </w:r>
          </w:p>
        </w:tc>
        <w:tc>
          <w:tcPr>
            <w:tcW w:type="dxa" w:w="1881"/>
          </w:tcPr>
          <w:p>
            <w:r>
              <w:t>✓ Todos OK</w:t>
            </w:r>
          </w:p>
        </w:tc>
        <w:tc>
          <w:tcPr>
            <w:tcW w:type="dxa" w:w="1881"/>
          </w:tcPr>
          <w:p>
            <w:r>
              <w:t>0</w:t>
            </w:r>
          </w:p>
        </w:tc>
        <w:tc>
          <w:tcPr>
            <w:tcW w:type="dxa" w:w="1881"/>
          </w:tcPr>
          <w:p>
            <w:r>
              <w:t>Release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