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Procedimento de Avaliação de Conformidade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PROC-AC-001 v1.0 - Conforme Art. 43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43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Procedimento de Avaliação de Conformidade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Procedimento institucional aplicado ao MedTriage AI v3.2.1.</w:t>
      </w:r>
    </w:p>
    <w:p>
      <w:pPr>
        <w:pStyle w:val="Heading2"/>
      </w:pPr>
      <w:r>
        <w:rPr>
          <w:rFonts w:ascii="Calibri" w:hAnsi="Calibri"/>
          <w:color w:val="0F172A"/>
        </w:rPr>
        <w:t>1. Identificação do procedimento aplicável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</w:t>
            </w:r>
          </w:p>
        </w:tc>
        <w:tc>
          <w:tcPr>
            <w:tcW w:type="dxa" w:w="6236"/>
          </w:tcPr>
          <w:p>
            <w:r>
              <w:t>MedTriage AI v3.2.1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Área Anexo III</w:t>
            </w:r>
          </w:p>
        </w:tc>
        <w:tc>
          <w:tcPr>
            <w:tcW w:type="dxa" w:w="6236"/>
          </w:tcPr>
          <w:p>
            <w:r>
              <w:t>Ponto 5(b) - serviços essenciais (saúde)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Procedimento aplicado</w:t>
            </w:r>
          </w:p>
        </w:tc>
        <w:tc>
          <w:tcPr>
            <w:tcW w:type="dxa" w:w="6236"/>
          </w:tcPr>
          <w:p>
            <w:r>
              <w:t>Art. 43(1) - controlo interno (Anexo VI)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Justificação</w:t>
            </w:r>
          </w:p>
        </w:tc>
        <w:tc>
          <w:tcPr>
            <w:tcW w:type="dxa" w:w="6236"/>
          </w:tcPr>
          <w:p>
            <w:r>
              <w:t>O sistema não envolve biometria (Anexo III ponto 1). Para áreas Anexo III ponto 2-8, o controlo interno é aplicável quando o fornecedor aplicou normas harmonizadas.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Normas aplicadas</w:t>
            </w:r>
          </w:p>
        </w:tc>
        <w:tc>
          <w:tcPr>
            <w:tcW w:type="dxa" w:w="6236"/>
          </w:tcPr>
          <w:p>
            <w:r>
              <w:t>ISO/IEC 42001, ISO/IEC 23894, ISO 13485, IEC 62304, ISO 27001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Organismo notificado</w:t>
            </w:r>
          </w:p>
        </w:tc>
        <w:tc>
          <w:tcPr>
            <w:tcW w:type="dxa" w:w="6236"/>
          </w:tcPr>
          <w:p>
            <w:r>
              <w:t>N/A (controlo interno)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Etapas do procedimento (Anexo VI)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 alvo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Output</w:t>
            </w:r>
          </w:p>
        </w:tc>
      </w:tr>
      <w:tr>
        <w:tc>
          <w:tcPr>
            <w:tcW w:type="dxa" w:w="1881"/>
          </w:tcPr>
          <w:p>
            <w:r>
              <w:t>1</w:t>
            </w:r>
          </w:p>
        </w:tc>
        <w:tc>
          <w:tcPr>
            <w:tcW w:type="dxa" w:w="1881"/>
          </w:tcPr>
          <w:p>
            <w:r>
              <w:t>Verificar QMS (Art. 17)</w:t>
            </w:r>
          </w:p>
        </w:tc>
        <w:tc>
          <w:tcPr>
            <w:tcW w:type="dxa" w:w="1881"/>
          </w:tcPr>
          <w:p>
            <w:r>
              <w:t>2026-08-20</w:t>
            </w:r>
          </w:p>
        </w:tc>
        <w:tc>
          <w:tcPr>
            <w:tcW w:type="dxa" w:w="1881"/>
          </w:tcPr>
          <w:p>
            <w:r>
              <w:t>Auditor interno + AI Officer</w:t>
            </w:r>
          </w:p>
        </w:tc>
        <w:tc>
          <w:tcPr>
            <w:tcW w:type="dxa" w:w="1881"/>
          </w:tcPr>
          <w:p>
            <w:r>
              <w:t>Acta de auditoria</w:t>
            </w:r>
          </w:p>
        </w:tc>
      </w:tr>
      <w:tr>
        <w:tc>
          <w:tcPr>
            <w:tcW w:type="dxa" w:w="1881"/>
          </w:tcPr>
          <w:p>
            <w:r>
              <w:t>2</w:t>
            </w:r>
          </w:p>
        </w:tc>
        <w:tc>
          <w:tcPr>
            <w:tcW w:type="dxa" w:w="1881"/>
          </w:tcPr>
          <w:p>
            <w:r>
              <w:t>Examinar documentação técnica (Anexo IV)</w:t>
            </w:r>
          </w:p>
        </w:tc>
        <w:tc>
          <w:tcPr>
            <w:tcW w:type="dxa" w:w="1881"/>
          </w:tcPr>
          <w:p>
            <w:r>
              <w:t>2026-08-25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Checklist</w:t>
            </w:r>
          </w:p>
        </w:tc>
      </w:tr>
      <w:tr>
        <w:tc>
          <w:tcPr>
            <w:tcW w:type="dxa" w:w="1881"/>
          </w:tcPr>
          <w:p>
            <w:r>
              <w:t>3</w:t>
            </w:r>
          </w:p>
        </w:tc>
        <w:tc>
          <w:tcPr>
            <w:tcW w:type="dxa" w:w="1881"/>
          </w:tcPr>
          <w:p>
            <w:r>
              <w:t>Verificar conformidade do desenho com requisitos (Cap. III, Sec. 2)</w:t>
            </w:r>
          </w:p>
        </w:tc>
        <w:tc>
          <w:tcPr>
            <w:tcW w:type="dxa" w:w="1881"/>
          </w:tcPr>
          <w:p>
            <w:r>
              <w:t>2026-09-01</w:t>
            </w:r>
          </w:p>
        </w:tc>
        <w:tc>
          <w:tcPr>
            <w:tcW w:type="dxa" w:w="1881"/>
          </w:tcPr>
          <w:p>
            <w:r>
              <w:t>CTO + AI Officer</w:t>
            </w:r>
          </w:p>
        </w:tc>
        <w:tc>
          <w:tcPr>
            <w:tcW w:type="dxa" w:w="1881"/>
          </w:tcPr>
          <w:p>
            <w:r>
              <w:t>Relatório</w:t>
            </w:r>
          </w:p>
        </w:tc>
      </w:tr>
      <w:tr>
        <w:tc>
          <w:tcPr>
            <w:tcW w:type="dxa" w:w="1881"/>
          </w:tcPr>
          <w:p>
            <w:r>
              <w:t>4</w:t>
            </w:r>
          </w:p>
        </w:tc>
        <w:tc>
          <w:tcPr>
            <w:tcW w:type="dxa" w:w="1881"/>
          </w:tcPr>
          <w:p>
            <w:r>
              <w:t>Verificar processo de desenvolvimento e testes</w:t>
            </w:r>
          </w:p>
        </w:tc>
        <w:tc>
          <w:tcPr>
            <w:tcW w:type="dxa" w:w="1881"/>
          </w:tcPr>
          <w:p>
            <w:r>
              <w:t>2026-09-05</w:t>
            </w:r>
          </w:p>
        </w:tc>
        <w:tc>
          <w:tcPr>
            <w:tcW w:type="dxa" w:w="1881"/>
          </w:tcPr>
          <w:p>
            <w:r>
              <w:t>QA Lead</w:t>
            </w:r>
          </w:p>
        </w:tc>
        <w:tc>
          <w:tcPr>
            <w:tcW w:type="dxa" w:w="1881"/>
          </w:tcPr>
          <w:p>
            <w:r>
              <w:t>Relatório de testes</w:t>
            </w:r>
          </w:p>
        </w:tc>
      </w:tr>
      <w:tr>
        <w:tc>
          <w:tcPr>
            <w:tcW w:type="dxa" w:w="1881"/>
          </w:tcPr>
          <w:p>
            <w:r>
              <w:t>5</w:t>
            </w:r>
          </w:p>
        </w:tc>
        <w:tc>
          <w:tcPr>
            <w:tcW w:type="dxa" w:w="1881"/>
          </w:tcPr>
          <w:p>
            <w:r>
              <w:t>Decisão de conformidade</w:t>
            </w:r>
          </w:p>
        </w:tc>
        <w:tc>
          <w:tcPr>
            <w:tcW w:type="dxa" w:w="1881"/>
          </w:tcPr>
          <w:p>
            <w:r>
              <w:t>2026-09-10</w:t>
            </w:r>
          </w:p>
        </w:tc>
        <w:tc>
          <w:tcPr>
            <w:tcW w:type="dxa" w:w="1881"/>
          </w:tcPr>
          <w:p>
            <w:r>
              <w:t>Comité IA + CEO</w:t>
            </w:r>
          </w:p>
        </w:tc>
        <w:tc>
          <w:tcPr>
            <w:tcW w:type="dxa" w:w="1881"/>
          </w:tcPr>
          <w:p>
            <w:r>
              <w:t>Acta de aprovação</w:t>
            </w:r>
          </w:p>
        </w:tc>
      </w:tr>
      <w:tr>
        <w:tc>
          <w:tcPr>
            <w:tcW w:type="dxa" w:w="1881"/>
          </w:tcPr>
          <w:p>
            <w:r>
              <w:t>6</w:t>
            </w:r>
          </w:p>
        </w:tc>
        <w:tc>
          <w:tcPr>
            <w:tcW w:type="dxa" w:w="1881"/>
          </w:tcPr>
          <w:p>
            <w:r>
              <w:t>Emitir Declaração UE de Conformidade (Art. 47)</w:t>
            </w:r>
          </w:p>
        </w:tc>
        <w:tc>
          <w:tcPr>
            <w:tcW w:type="dxa" w:w="1881"/>
          </w:tcPr>
          <w:p>
            <w:r>
              <w:t>2026-09-12</w:t>
            </w:r>
          </w:p>
        </w:tc>
        <w:tc>
          <w:tcPr>
            <w:tcW w:type="dxa" w:w="1881"/>
          </w:tcPr>
          <w:p>
            <w:r>
              <w:t>CEO</w:t>
            </w:r>
          </w:p>
        </w:tc>
        <w:tc>
          <w:tcPr>
            <w:tcW w:type="dxa" w:w="1881"/>
          </w:tcPr>
          <w:p>
            <w:r>
              <w:t>DOC-CONF-2026-001</w:t>
            </w:r>
          </w:p>
        </w:tc>
      </w:tr>
      <w:tr>
        <w:tc>
          <w:tcPr>
            <w:tcW w:type="dxa" w:w="1881"/>
          </w:tcPr>
          <w:p>
            <w:r>
              <w:t>7</w:t>
            </w:r>
          </w:p>
        </w:tc>
        <w:tc>
          <w:tcPr>
            <w:tcW w:type="dxa" w:w="1881"/>
          </w:tcPr>
          <w:p>
            <w:r>
              <w:t>Afixar marcação CE (Art. 48)</w:t>
            </w:r>
          </w:p>
        </w:tc>
        <w:tc>
          <w:tcPr>
            <w:tcW w:type="dxa" w:w="1881"/>
          </w:tcPr>
          <w:p>
            <w:r>
              <w:t>2026-09-12</w:t>
            </w:r>
          </w:p>
        </w:tc>
        <w:tc>
          <w:tcPr>
            <w:tcW w:type="dxa" w:w="1881"/>
          </w:tcPr>
          <w:p>
            <w:r>
              <w:t>Equipa Marketing/Doc</w:t>
            </w:r>
          </w:p>
        </w:tc>
        <w:tc>
          <w:tcPr>
            <w:tcW w:type="dxa" w:w="1881"/>
          </w:tcPr>
          <w:p>
            <w:r>
              <w:t>Documentação atualizada</w:t>
            </w:r>
          </w:p>
        </w:tc>
      </w:tr>
      <w:tr>
        <w:tc>
          <w:tcPr>
            <w:tcW w:type="dxa" w:w="1881"/>
          </w:tcPr>
          <w:p>
            <w:r>
              <w:t>8</w:t>
            </w:r>
          </w:p>
        </w:tc>
        <w:tc>
          <w:tcPr>
            <w:tcW w:type="dxa" w:w="1881"/>
          </w:tcPr>
          <w:p>
            <w:r>
              <w:t>Registar na BD UE (Art. 49)</w:t>
            </w:r>
          </w:p>
        </w:tc>
        <w:tc>
          <w:tcPr>
            <w:tcW w:type="dxa" w:w="1881"/>
          </w:tcPr>
          <w:p>
            <w:r>
              <w:t>2026-09-15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Confirmação de registo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Estado atual</w:t>
      </w:r>
    </w:p>
    <w:p>
      <w:r>
        <w:rPr>
          <w:sz w:val="22"/>
        </w:rPr>
        <w:t>Procedimento em curso para v3.2.1. Etapa atual: 4 (verificação de testes). Conclusão prevista: 2026-09-15.</w:t>
      </w:r>
    </w:p>
    <w:p>
      <w:pPr>
        <w:pStyle w:val="Heading2"/>
      </w:pPr>
      <w:r>
        <w:rPr>
          <w:rFonts w:ascii="Calibri" w:hAnsi="Calibri"/>
          <w:color w:val="0F172A"/>
        </w:rPr>
        <w:t>4. Documentação resultante</w:t>
      </w:r>
    </w:p>
    <w:p>
      <w:pPr>
        <w:pStyle w:val="ListBullet"/>
        <w:ind w:left="283"/>
      </w:pPr>
      <w:r>
        <w:rPr>
          <w:sz w:val="21"/>
        </w:rPr>
        <w:t>☑  Acta de auditoria interna do QMS</w:t>
      </w:r>
    </w:p>
    <w:p>
      <w:pPr>
        <w:pStyle w:val="ListBullet"/>
        <w:ind w:left="283"/>
      </w:pPr>
      <w:r>
        <w:rPr>
          <w:sz w:val="21"/>
        </w:rPr>
        <w:t>☑  Documentação técnica completa (Anexo IV)</w:t>
      </w:r>
    </w:p>
    <w:p>
      <w:pPr>
        <w:pStyle w:val="ListBullet"/>
        <w:ind w:left="283"/>
      </w:pPr>
      <w:r>
        <w:rPr>
          <w:sz w:val="21"/>
        </w:rPr>
        <w:t>☐  Relatório de verificação de desenho</w:t>
      </w:r>
    </w:p>
    <w:p>
      <w:pPr>
        <w:pStyle w:val="ListBullet"/>
        <w:ind w:left="283"/>
      </w:pPr>
      <w:r>
        <w:rPr>
          <w:sz w:val="21"/>
        </w:rPr>
        <w:t>☐  Relatório de testes (incluindo testes de viés, robustez, exatidão)</w:t>
      </w:r>
    </w:p>
    <w:p>
      <w:pPr>
        <w:pStyle w:val="ListBullet"/>
        <w:ind w:left="283"/>
      </w:pPr>
      <w:r>
        <w:rPr>
          <w:sz w:val="21"/>
        </w:rPr>
        <w:t>☐  Acta de aprovação do Comité IA</w:t>
      </w:r>
    </w:p>
    <w:p>
      <w:pPr>
        <w:pStyle w:val="ListBullet"/>
        <w:ind w:left="283"/>
      </w:pPr>
      <w:r>
        <w:rPr>
          <w:sz w:val="21"/>
        </w:rPr>
        <w:t>☐  Declaração UE de Conformidade (Anexo V)</w:t>
      </w:r>
    </w:p>
    <w:p>
      <w:pPr>
        <w:pStyle w:val="ListBullet"/>
        <w:ind w:left="283"/>
      </w:pPr>
      <w:r>
        <w:rPr>
          <w:sz w:val="21"/>
        </w:rPr>
        <w:t>☐  Confirmação de registo na BD UE</w:t>
      </w:r>
    </w:p>
    <w:p>
      <w:pPr>
        <w:pStyle w:val="Heading2"/>
      </w:pPr>
      <w:r>
        <w:rPr>
          <w:rFonts w:ascii="Calibri" w:hAnsi="Calibri"/>
          <w:color w:val="0F172A"/>
        </w:rPr>
        <w:t>5. Reavaliação</w:t>
      </w:r>
    </w:p>
    <w:p>
      <w:r>
        <w:rPr>
          <w:sz w:val="22"/>
        </w:rPr>
        <w:t>Reavaliação obrigatória sempre que o sistema sofra alteração substancial (Art. 43(4)). Para versões patch (v3.2.x), procedimento simplificado mantém-se válido - apenas auditoria delta.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