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Procedimento de Classificação de Risco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POL-CLAS-001 v1.0 - Conforme Art. 6 do AI Act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5 + 6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Procedimento de Classificação de Risco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Procedimento institucional. Classificações reais dos 3 sistemas TechMed incluídas.</w:t>
      </w:r>
    </w:p>
    <w:p>
      <w:pPr>
        <w:pStyle w:val="Heading2"/>
      </w:pPr>
      <w:r>
        <w:rPr>
          <w:rFonts w:ascii="Calibri" w:hAnsi="Calibri"/>
          <w:color w:val="0F172A"/>
        </w:rPr>
        <w:t>1. Etapas da classificação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#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Verificação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Decisão</w:t>
            </w:r>
          </w:p>
        </w:tc>
      </w:tr>
      <w:tr>
        <w:tc>
          <w:tcPr>
            <w:tcW w:type="dxa" w:w="3135"/>
          </w:tcPr>
          <w:p>
            <w:r>
              <w:t>1</w:t>
            </w:r>
          </w:p>
        </w:tc>
        <w:tc>
          <w:tcPr>
            <w:tcW w:type="dxa" w:w="3135"/>
          </w:tcPr>
          <w:p>
            <w:r>
              <w:t>Verificar Art. 5 (práticas proibidas)</w:t>
            </w:r>
          </w:p>
        </w:tc>
        <w:tc>
          <w:tcPr>
            <w:tcW w:type="dxa" w:w="3135"/>
          </w:tcPr>
          <w:p>
            <w:r>
              <w:t>Se aplicável → PROIBIDO; sistema não pode operar</w:t>
            </w:r>
          </w:p>
        </w:tc>
      </w:tr>
      <w:tr>
        <w:tc>
          <w:tcPr>
            <w:tcW w:type="dxa" w:w="3135"/>
          </w:tcPr>
          <w:p>
            <w:r>
              <w:t>2</w:t>
            </w:r>
          </w:p>
        </w:tc>
        <w:tc>
          <w:tcPr>
            <w:tcW w:type="dxa" w:w="3135"/>
          </w:tcPr>
          <w:p>
            <w:r>
              <w:t>Verificar Art. 6(1) (Anexo I - componente de segurança)</w:t>
            </w:r>
          </w:p>
        </w:tc>
        <w:tc>
          <w:tcPr>
            <w:tcW w:type="dxa" w:w="3135"/>
          </w:tcPr>
          <w:p>
            <w:r>
              <w:t>Se aplicável → ALTO RISCO</w:t>
            </w:r>
          </w:p>
        </w:tc>
      </w:tr>
      <w:tr>
        <w:tc>
          <w:tcPr>
            <w:tcW w:type="dxa" w:w="3135"/>
          </w:tcPr>
          <w:p>
            <w:r>
              <w:t>3</w:t>
            </w:r>
          </w:p>
        </w:tc>
        <w:tc>
          <w:tcPr>
            <w:tcW w:type="dxa" w:w="3135"/>
          </w:tcPr>
          <w:p>
            <w:r>
              <w:t>Verificar Art. 6(2) (Anexo III - caso uso)</w:t>
            </w:r>
          </w:p>
        </w:tc>
        <w:tc>
          <w:tcPr>
            <w:tcW w:type="dxa" w:w="3135"/>
          </w:tcPr>
          <w:p>
            <w:r>
              <w:t>Se aplicável → ALTO RISCO (sujeito a Art. 6(3) excepção)</w:t>
            </w:r>
          </w:p>
        </w:tc>
      </w:tr>
      <w:tr>
        <w:tc>
          <w:tcPr>
            <w:tcW w:type="dxa" w:w="3135"/>
          </w:tcPr>
          <w:p>
            <w:r>
              <w:t>4</w:t>
            </w:r>
          </w:p>
        </w:tc>
        <w:tc>
          <w:tcPr>
            <w:tcW w:type="dxa" w:w="3135"/>
          </w:tcPr>
          <w:p>
            <w:r>
              <w:t>Verificar Art. 6(3) (excepção - perfil filtragem narrow task)</w:t>
            </w:r>
          </w:p>
        </w:tc>
        <w:tc>
          <w:tcPr>
            <w:tcW w:type="dxa" w:w="3135"/>
          </w:tcPr>
          <w:p>
            <w:r>
              <w:t>Se aplicável → SAÍDA do alto risco (mas obrigado a registar)</w:t>
            </w:r>
          </w:p>
        </w:tc>
      </w:tr>
      <w:tr>
        <w:tc>
          <w:tcPr>
            <w:tcW w:type="dxa" w:w="3135"/>
          </w:tcPr>
          <w:p>
            <w:r>
              <w:t>5</w:t>
            </w:r>
          </w:p>
        </w:tc>
        <w:tc>
          <w:tcPr>
            <w:tcW w:type="dxa" w:w="3135"/>
          </w:tcPr>
          <w:p>
            <w:r>
              <w:t>Verificar Art. 50 (transparência) - chatbot/deepfake/conteúdo sintético</w:t>
            </w:r>
          </w:p>
        </w:tc>
        <w:tc>
          <w:tcPr>
            <w:tcW w:type="dxa" w:w="3135"/>
          </w:tcPr>
          <w:p>
            <w:r>
              <w:t>Se aplicável → RISCO LIMITADO</w:t>
            </w:r>
          </w:p>
        </w:tc>
      </w:tr>
      <w:tr>
        <w:tc>
          <w:tcPr>
            <w:tcW w:type="dxa" w:w="3135"/>
          </w:tcPr>
          <w:p>
            <w:r>
              <w:t>6</w:t>
            </w:r>
          </w:p>
        </w:tc>
        <w:tc>
          <w:tcPr>
            <w:tcW w:type="dxa" w:w="3135"/>
          </w:tcPr>
          <w:p>
            <w:r>
              <w:t>Verificar Art. 51 (GPAI risco sistémico - 10²⁵ FLOPs)</w:t>
            </w:r>
          </w:p>
        </w:tc>
        <w:tc>
          <w:tcPr>
            <w:tcW w:type="dxa" w:w="3135"/>
          </w:tcPr>
          <w:p>
            <w:r>
              <w:t>Se aplicável → GPAI sistémico</w:t>
            </w:r>
          </w:p>
        </w:tc>
      </w:tr>
      <w:tr>
        <w:tc>
          <w:tcPr>
            <w:tcW w:type="dxa" w:w="3135"/>
          </w:tcPr>
          <w:p>
            <w:r>
              <w:t>7</w:t>
            </w:r>
          </w:p>
        </w:tc>
        <w:tc>
          <w:tcPr>
            <w:tcW w:type="dxa" w:w="3135"/>
          </w:tcPr>
          <w:p>
            <w:r>
              <w:t>Caso contrário</w:t>
            </w:r>
          </w:p>
        </w:tc>
        <w:tc>
          <w:tcPr>
            <w:tcW w:type="dxa" w:w="3135"/>
          </w:tcPr>
          <w:p>
            <w:r>
              <w:t>RISCO MÍNIMO (apenas Art. 4 - literacia)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Classificações reais TechMed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>
        <w:tc>
          <w:tcPr>
            <w:tcW w:type="dxa" w:w="1344"/>
            <w:shd w:val="clear" w:color="auto" w:fill="0F172A"/>
          </w:tcPr>
          <w:p>
            <w:r>
              <w:rPr>
                <w:b/>
                <w:color w:val="FFFFFF"/>
              </w:rPr>
              <w:t>Sistema</w:t>
            </w:r>
          </w:p>
        </w:tc>
        <w:tc>
          <w:tcPr>
            <w:tcW w:type="dxa" w:w="1344"/>
            <w:shd w:val="clear" w:color="auto" w:fill="0F172A"/>
          </w:tcPr>
          <w:p>
            <w:r>
              <w:rPr>
                <w:b/>
                <w:color w:val="FFFFFF"/>
              </w:rPr>
              <w:t>Art. 5?</w:t>
            </w:r>
          </w:p>
        </w:tc>
        <w:tc>
          <w:tcPr>
            <w:tcW w:type="dxa" w:w="1344"/>
            <w:shd w:val="clear" w:color="auto" w:fill="0F172A"/>
          </w:tcPr>
          <w:p>
            <w:r>
              <w:rPr>
                <w:b/>
                <w:color w:val="FFFFFF"/>
              </w:rPr>
              <w:t>Anexo I?</w:t>
            </w:r>
          </w:p>
        </w:tc>
        <w:tc>
          <w:tcPr>
            <w:tcW w:type="dxa" w:w="1344"/>
            <w:shd w:val="clear" w:color="auto" w:fill="0F172A"/>
          </w:tcPr>
          <w:p>
            <w:r>
              <w:rPr>
                <w:b/>
                <w:color w:val="FFFFFF"/>
              </w:rPr>
              <w:t>Anexo III?</w:t>
            </w:r>
          </w:p>
        </w:tc>
        <w:tc>
          <w:tcPr>
            <w:tcW w:type="dxa" w:w="1344"/>
            <w:shd w:val="clear" w:color="auto" w:fill="0F172A"/>
          </w:tcPr>
          <w:p>
            <w:r>
              <w:rPr>
                <w:b/>
                <w:color w:val="FFFFFF"/>
              </w:rPr>
              <w:t>Art. 50?</w:t>
            </w:r>
          </w:p>
        </w:tc>
        <w:tc>
          <w:tcPr>
            <w:tcW w:type="dxa" w:w="1344"/>
            <w:shd w:val="clear" w:color="auto" w:fill="0F172A"/>
          </w:tcPr>
          <w:p>
            <w:r>
              <w:rPr>
                <w:b/>
                <w:color w:val="FFFFFF"/>
              </w:rPr>
              <w:t>Decisão</w:t>
            </w:r>
          </w:p>
        </w:tc>
        <w:tc>
          <w:tcPr>
            <w:tcW w:type="dxa" w:w="1344"/>
            <w:shd w:val="clear" w:color="auto" w:fill="0F172A"/>
          </w:tcPr>
          <w:p>
            <w:r>
              <w:rPr>
                <w:b/>
                <w:color w:val="FFFFFF"/>
              </w:rPr>
              <w:t>Owner</w:t>
            </w:r>
          </w:p>
        </w:tc>
      </w:tr>
      <w:tr>
        <w:tc>
          <w:tcPr>
            <w:tcW w:type="dxa" w:w="1344"/>
          </w:tcPr>
          <w:p>
            <w:r>
              <w:t>MedTriage AI</w:t>
            </w:r>
          </w:p>
        </w:tc>
        <w:tc>
          <w:tcPr>
            <w:tcW w:type="dxa" w:w="1344"/>
          </w:tcPr>
          <w:p>
            <w:r>
              <w:t>Não</w:t>
            </w:r>
          </w:p>
        </w:tc>
        <w:tc>
          <w:tcPr>
            <w:tcW w:type="dxa" w:w="1344"/>
          </w:tcPr>
          <w:p>
            <w:r>
              <w:t>Não</w:t>
            </w:r>
          </w:p>
        </w:tc>
        <w:tc>
          <w:tcPr>
            <w:tcW w:type="dxa" w:w="1344"/>
          </w:tcPr>
          <w:p>
            <w:r>
              <w:t>Sim - Anexo III ponto 5(b)</w:t>
            </w:r>
          </w:p>
        </w:tc>
        <w:tc>
          <w:tcPr>
            <w:tcW w:type="dxa" w:w="1344"/>
          </w:tcPr>
          <w:p>
            <w:r>
              <w:t>Não</w:t>
            </w:r>
          </w:p>
        </w:tc>
        <w:tc>
          <w:tcPr>
            <w:tcW w:type="dxa" w:w="1344"/>
          </w:tcPr>
          <w:p>
            <w:r>
              <w:t>ALTO RISCO</w:t>
            </w:r>
          </w:p>
        </w:tc>
        <w:tc>
          <w:tcPr>
            <w:tcW w:type="dxa" w:w="1344"/>
          </w:tcPr>
          <w:p>
            <w:r>
              <w:t>Dr.ª Sofia Mendes</w:t>
            </w:r>
          </w:p>
        </w:tc>
      </w:tr>
      <w:tr>
        <w:tc>
          <w:tcPr>
            <w:tcW w:type="dxa" w:w="1344"/>
          </w:tcPr>
          <w:p>
            <w:r>
              <w:t>CodeAssist GPAI</w:t>
            </w:r>
          </w:p>
        </w:tc>
        <w:tc>
          <w:tcPr>
            <w:tcW w:type="dxa" w:w="1344"/>
          </w:tcPr>
          <w:p>
            <w:r>
              <w:t>Não</w:t>
            </w:r>
          </w:p>
        </w:tc>
        <w:tc>
          <w:tcPr>
            <w:tcW w:type="dxa" w:w="1344"/>
          </w:tcPr>
          <w:p>
            <w:r>
              <w:t>Não</w:t>
            </w:r>
          </w:p>
        </w:tc>
        <w:tc>
          <w:tcPr>
            <w:tcW w:type="dxa" w:w="1344"/>
          </w:tcPr>
          <w:p>
            <w:r>
              <w:t>Não</w:t>
            </w:r>
          </w:p>
        </w:tc>
        <w:tc>
          <w:tcPr>
            <w:tcW w:type="dxa" w:w="1344"/>
          </w:tcPr>
          <w:p>
            <w:r>
              <w:t>Sim - chatbot/assistente</w:t>
            </w:r>
          </w:p>
        </w:tc>
        <w:tc>
          <w:tcPr>
            <w:tcW w:type="dxa" w:w="1344"/>
          </w:tcPr>
          <w:p>
            <w:r>
              <w:t>LIMITADO</w:t>
            </w:r>
          </w:p>
        </w:tc>
        <w:tc>
          <w:tcPr>
            <w:tcW w:type="dxa" w:w="1344"/>
          </w:tcPr>
          <w:p>
            <w:r>
              <w:t>Eng. Carlos Marques</w:t>
            </w:r>
          </w:p>
        </w:tc>
      </w:tr>
      <w:tr>
        <w:tc>
          <w:tcPr>
            <w:tcW w:type="dxa" w:w="1344"/>
          </w:tcPr>
          <w:p>
            <w:r>
              <w:t>HR-Match</w:t>
            </w:r>
          </w:p>
        </w:tc>
        <w:tc>
          <w:tcPr>
            <w:tcW w:type="dxa" w:w="1344"/>
          </w:tcPr>
          <w:p>
            <w:r>
              <w:t>Não</w:t>
            </w:r>
          </w:p>
        </w:tc>
        <w:tc>
          <w:tcPr>
            <w:tcW w:type="dxa" w:w="1344"/>
          </w:tcPr>
          <w:p>
            <w:r>
              <w:t>Não</w:t>
            </w:r>
          </w:p>
        </w:tc>
        <w:tc>
          <w:tcPr>
            <w:tcW w:type="dxa" w:w="1344"/>
          </w:tcPr>
          <w:p>
            <w:r>
              <w:t>Sim - Anexo III ponto 4(a)</w:t>
            </w:r>
          </w:p>
        </w:tc>
        <w:tc>
          <w:tcPr>
            <w:tcW w:type="dxa" w:w="1344"/>
          </w:tcPr>
          <w:p>
            <w:r>
              <w:t>Não</w:t>
            </w:r>
          </w:p>
        </w:tc>
        <w:tc>
          <w:tcPr>
            <w:tcW w:type="dxa" w:w="1344"/>
          </w:tcPr>
          <w:p>
            <w:r>
              <w:t>ALTO RISCO</w:t>
            </w:r>
          </w:p>
        </w:tc>
        <w:tc>
          <w:tcPr>
            <w:tcW w:type="dxa" w:w="1344"/>
          </w:tcPr>
          <w:p>
            <w:r>
              <w:t>Pedro Almeida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Documentação obrigatória da classificação</w:t>
      </w:r>
    </w:p>
    <w:p>
      <w:pPr>
        <w:pStyle w:val="ListBullet"/>
        <w:ind w:left="283"/>
      </w:pPr>
      <w:r>
        <w:rPr>
          <w:sz w:val="21"/>
        </w:rPr>
        <w:t>☑  Decisão fundamentada por escrito</w:t>
      </w:r>
    </w:p>
    <w:p>
      <w:pPr>
        <w:pStyle w:val="ListBullet"/>
        <w:ind w:left="283"/>
      </w:pPr>
      <w:r>
        <w:rPr>
          <w:sz w:val="21"/>
        </w:rPr>
        <w:t>☑  Aprovação pelo Comité IA</w:t>
      </w:r>
    </w:p>
    <w:p>
      <w:pPr>
        <w:pStyle w:val="ListBullet"/>
        <w:ind w:left="283"/>
      </w:pPr>
      <w:r>
        <w:rPr>
          <w:sz w:val="21"/>
        </w:rPr>
        <w:t>☑  Atualização do Registo de Sistemas IA</w:t>
      </w:r>
    </w:p>
    <w:p>
      <w:pPr>
        <w:pStyle w:val="ListBullet"/>
        <w:ind w:left="283"/>
      </w:pPr>
      <w:r>
        <w:rPr>
          <w:sz w:val="21"/>
        </w:rPr>
        <w:t>☑  Notificação ao DPO se sistema processa dados pessoais</w:t>
      </w:r>
    </w:p>
    <w:p>
      <w:pPr>
        <w:pStyle w:val="ListBullet"/>
        <w:ind w:left="283"/>
      </w:pPr>
      <w:r>
        <w:rPr>
          <w:sz w:val="21"/>
        </w:rPr>
        <w:t>☑  Inclusão na BD UE se alto risco (Art. 49)</w:t>
      </w:r>
    </w:p>
    <w:p>
      <w:pPr>
        <w:pStyle w:val="Heading2"/>
      </w:pPr>
      <w:r>
        <w:rPr>
          <w:rFonts w:ascii="Calibri" w:hAnsi="Calibri"/>
          <w:color w:val="0F172A"/>
        </w:rPr>
        <w:t>4. Reavaliação</w:t>
      </w:r>
    </w:p>
    <w:p>
      <w:r>
        <w:rPr>
          <w:sz w:val="22"/>
        </w:rPr>
        <w:t>A classificação é reavaliada anualmente e em cada alteração material. O Anexo III pode ser atualizado pela Comissão (Art. 7) - TechMed monitora atualizações via subscrição EUR-Lex.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