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Procedimento de Reclamações sobre Sistemas IA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POL-REC-001 v1.0 - Conforme Art. 85 do AI Act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85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Procedimento de Reclamações sobre Sistemas IA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Procedimento ativo na TechMed. Canal: queixas-ia@techmed-solutions.pt + linha 800.</w:t>
      </w:r>
    </w:p>
    <w:p>
      <w:pPr>
        <w:pStyle w:val="Heading2"/>
      </w:pPr>
      <w:r>
        <w:rPr>
          <w:rFonts w:ascii="Calibri" w:hAnsi="Calibri"/>
          <w:color w:val="0F172A"/>
        </w:rPr>
        <w:t>1. Direito a reclamação (Art. 85)</w:t>
      </w:r>
    </w:p>
    <w:p>
      <w:r>
        <w:rPr>
          <w:sz w:val="22"/>
        </w:rPr>
        <w:t>Qualquer pessoa singular ou coletiva pode apresentar reclamação à autoridade competente (em Portugal: ANACOM). A TechMed disponibiliza canal interno paralelo para resolução rápida.</w:t>
      </w:r>
    </w:p>
    <w:p>
      <w:pPr>
        <w:pStyle w:val="Heading2"/>
      </w:pPr>
      <w:r>
        <w:rPr>
          <w:rFonts w:ascii="Calibri" w:hAnsi="Calibri"/>
          <w:color w:val="0F172A"/>
        </w:rPr>
        <w:t>2. Canais disponíveis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Canal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Contacto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SLA TechMed</w:t>
            </w:r>
          </w:p>
        </w:tc>
      </w:tr>
      <w:tr>
        <w:tc>
          <w:tcPr>
            <w:tcW w:type="dxa" w:w="3135"/>
          </w:tcPr>
          <w:p>
            <w:r>
              <w:t>Email</w:t>
            </w:r>
          </w:p>
        </w:tc>
        <w:tc>
          <w:tcPr>
            <w:tcW w:type="dxa" w:w="3135"/>
          </w:tcPr>
          <w:p>
            <w:r>
              <w:t>queixas-ia@techmed-solutions.pt</w:t>
            </w:r>
          </w:p>
        </w:tc>
        <w:tc>
          <w:tcPr>
            <w:tcW w:type="dxa" w:w="3135"/>
          </w:tcPr>
          <w:p>
            <w:r>
              <w:t>5 dias úteis</w:t>
            </w:r>
          </w:p>
        </w:tc>
      </w:tr>
      <w:tr>
        <w:tc>
          <w:tcPr>
            <w:tcW w:type="dxa" w:w="3135"/>
          </w:tcPr>
          <w:p>
            <w:r>
              <w:t>Telefone</w:t>
            </w:r>
          </w:p>
        </w:tc>
        <w:tc>
          <w:tcPr>
            <w:tcW w:type="dxa" w:w="3135"/>
          </w:tcPr>
          <w:p>
            <w:r>
              <w:t>800 200 100 (chamada gratuita, 9h-18h dias úteis)</w:t>
            </w:r>
          </w:p>
        </w:tc>
        <w:tc>
          <w:tcPr>
            <w:tcW w:type="dxa" w:w="3135"/>
          </w:tcPr>
          <w:p>
            <w:r>
              <w:t>Resposta verbal imediata</w:t>
            </w:r>
          </w:p>
        </w:tc>
      </w:tr>
      <w:tr>
        <w:tc>
          <w:tcPr>
            <w:tcW w:type="dxa" w:w="3135"/>
          </w:tcPr>
          <w:p>
            <w:r>
              <w:t>Formulário online</w:t>
            </w:r>
          </w:p>
        </w:tc>
        <w:tc>
          <w:tcPr>
            <w:tcW w:type="dxa" w:w="3135"/>
          </w:tcPr>
          <w:p>
            <w:r>
              <w:t>www.techmed-solutions.pt/queixas-ia</w:t>
            </w:r>
          </w:p>
        </w:tc>
        <w:tc>
          <w:tcPr>
            <w:tcW w:type="dxa" w:w="3135"/>
          </w:tcPr>
          <w:p>
            <w:r>
              <w:t>5 dias úteis</w:t>
            </w:r>
          </w:p>
        </w:tc>
      </w:tr>
      <w:tr>
        <w:tc>
          <w:tcPr>
            <w:tcW w:type="dxa" w:w="3135"/>
          </w:tcPr>
          <w:p>
            <w:r>
              <w:t>Carta</w:t>
            </w:r>
          </w:p>
        </w:tc>
        <w:tc>
          <w:tcPr>
            <w:tcW w:type="dxa" w:w="3135"/>
          </w:tcPr>
          <w:p>
            <w:r>
              <w:t>Av. da Liberdade 100, 4.º, 1250-145 Lisboa, A/c. AI Officer</w:t>
            </w:r>
          </w:p>
        </w:tc>
        <w:tc>
          <w:tcPr>
            <w:tcW w:type="dxa" w:w="3135"/>
          </w:tcPr>
          <w:p>
            <w:r>
              <w:t>15 dias</w:t>
            </w:r>
          </w:p>
        </w:tc>
      </w:tr>
      <w:tr>
        <w:tc>
          <w:tcPr>
            <w:tcW w:type="dxa" w:w="3135"/>
          </w:tcPr>
          <w:p>
            <w:r>
              <w:t>ANACOM (autoridade)</w:t>
            </w:r>
          </w:p>
        </w:tc>
        <w:tc>
          <w:tcPr>
            <w:tcW w:type="dxa" w:w="3135"/>
          </w:tcPr>
          <w:p>
            <w:r>
              <w:t>ai-act@anacom.pt - direto sem passar pela TechMed</w:t>
            </w:r>
          </w:p>
        </w:tc>
        <w:tc>
          <w:tcPr>
            <w:tcW w:type="dxa" w:w="3135"/>
          </w:tcPr>
          <w:p>
            <w:r>
              <w:t>Conforme ANACOM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Processo interno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Etapa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Descrição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Responsável / SLA</w:t>
            </w:r>
          </w:p>
        </w:tc>
      </w:tr>
      <w:tr>
        <w:tc>
          <w:tcPr>
            <w:tcW w:type="dxa" w:w="3135"/>
          </w:tcPr>
          <w:p>
            <w:r>
              <w:t>1. Receção</w:t>
            </w:r>
          </w:p>
        </w:tc>
        <w:tc>
          <w:tcPr>
            <w:tcW w:type="dxa" w:w="3135"/>
          </w:tcPr>
          <w:p>
            <w:r>
              <w:t>Auto-acuse de receção em &lt;1h</w:t>
            </w:r>
          </w:p>
        </w:tc>
        <w:tc>
          <w:tcPr>
            <w:tcW w:type="dxa" w:w="3135"/>
          </w:tcPr>
          <w:p>
            <w:r>
              <w:t>AI Officer</w:t>
            </w:r>
          </w:p>
        </w:tc>
      </w:tr>
      <w:tr>
        <w:tc>
          <w:tcPr>
            <w:tcW w:type="dxa" w:w="3135"/>
          </w:tcPr>
          <w:p>
            <w:r>
              <w:t>2. Triagem</w:t>
            </w:r>
          </w:p>
        </w:tc>
        <w:tc>
          <w:tcPr>
            <w:tcW w:type="dxa" w:w="3135"/>
          </w:tcPr>
          <w:p>
            <w:r>
              <w:t>Classificação (info/queixa formal/incidente Art.73)</w:t>
            </w:r>
          </w:p>
        </w:tc>
        <w:tc>
          <w:tcPr>
            <w:tcW w:type="dxa" w:w="3135"/>
          </w:tcPr>
          <w:p>
            <w:r>
              <w:t>AI Officer</w:t>
            </w:r>
          </w:p>
        </w:tc>
      </w:tr>
      <w:tr>
        <w:tc>
          <w:tcPr>
            <w:tcW w:type="dxa" w:w="3135"/>
          </w:tcPr>
          <w:p>
            <w:r>
              <w:t>3. Investigação</w:t>
            </w:r>
          </w:p>
        </w:tc>
        <w:tc>
          <w:tcPr>
            <w:tcW w:type="dxa" w:w="3135"/>
          </w:tcPr>
          <w:p>
            <w:r>
              <w:t>Owner + DPO + Compliance</w:t>
            </w:r>
          </w:p>
        </w:tc>
        <w:tc>
          <w:tcPr>
            <w:tcW w:type="dxa" w:w="3135"/>
          </w:tcPr>
          <w:p>
            <w:r>
              <w:t>5-15 dias úteis</w:t>
            </w:r>
          </w:p>
        </w:tc>
      </w:tr>
      <w:tr>
        <w:tc>
          <w:tcPr>
            <w:tcW w:type="dxa" w:w="3135"/>
          </w:tcPr>
          <w:p>
            <w:r>
              <w:t>4. Decisão</w:t>
            </w:r>
          </w:p>
        </w:tc>
        <w:tc>
          <w:tcPr>
            <w:tcW w:type="dxa" w:w="3135"/>
          </w:tcPr>
          <w:p>
            <w:r>
              <w:t>Resposta fundamentada</w:t>
            </w:r>
          </w:p>
        </w:tc>
        <w:tc>
          <w:tcPr>
            <w:tcW w:type="dxa" w:w="3135"/>
          </w:tcPr>
          <w:p>
            <w:r>
              <w:t>15 dias úteis</w:t>
            </w:r>
          </w:p>
        </w:tc>
      </w:tr>
      <w:tr>
        <w:tc>
          <w:tcPr>
            <w:tcW w:type="dxa" w:w="3135"/>
          </w:tcPr>
          <w:p>
            <w:r>
              <w:t>5. Comunicação</w:t>
            </w:r>
          </w:p>
        </w:tc>
        <w:tc>
          <w:tcPr>
            <w:tcW w:type="dxa" w:w="3135"/>
          </w:tcPr>
          <w:p>
            <w:r>
              <w:t>Email + linha telefónica se solicitado</w:t>
            </w:r>
          </w:p>
        </w:tc>
        <w:tc>
          <w:tcPr>
            <w:tcW w:type="dxa" w:w="3135"/>
          </w:tcPr>
          <w:p>
            <w:r>
              <w:t>No prazo</w:t>
            </w:r>
          </w:p>
        </w:tc>
      </w:tr>
      <w:tr>
        <w:tc>
          <w:tcPr>
            <w:tcW w:type="dxa" w:w="3135"/>
          </w:tcPr>
          <w:p>
            <w:r>
              <w:t>6. Recurso interno</w:t>
            </w:r>
          </w:p>
        </w:tc>
        <w:tc>
          <w:tcPr>
            <w:tcW w:type="dxa" w:w="3135"/>
          </w:tcPr>
          <w:p>
            <w:r>
              <w:t>Disponível em 30 dias para CEO</w:t>
            </w:r>
          </w:p>
        </w:tc>
        <w:tc>
          <w:tcPr>
            <w:tcW w:type="dxa" w:w="3135"/>
          </w:tcPr>
          <w:p>
            <w:r>
              <w:t>Quando aplicável</w:t>
            </w:r>
          </w:p>
        </w:tc>
      </w:tr>
      <w:tr>
        <w:tc>
          <w:tcPr>
            <w:tcW w:type="dxa" w:w="3135"/>
          </w:tcPr>
          <w:p>
            <w:r>
              <w:t>7. Encaminhamento ANACOM</w:t>
            </w:r>
          </w:p>
        </w:tc>
        <w:tc>
          <w:tcPr>
            <w:tcW w:type="dxa" w:w="3135"/>
          </w:tcPr>
          <w:p>
            <w:r>
              <w:t>Se reclamante não satisfeito</w:t>
            </w:r>
          </w:p>
        </w:tc>
        <w:tc>
          <w:tcPr>
            <w:tcW w:type="dxa" w:w="3135"/>
          </w:tcPr>
          <w:p>
            <w:r>
              <w:t>Sempre disponibilizado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Conteúdo mínimo da reclamação</w:t>
      </w:r>
    </w:p>
    <w:p>
      <w:pPr>
        <w:pStyle w:val="ListBullet"/>
        <w:ind w:left="283"/>
      </w:pPr>
      <w:r>
        <w:rPr>
          <w:sz w:val="21"/>
        </w:rPr>
        <w:t>☐  Identificação do reclamante (nome, contacto)</w:t>
      </w:r>
    </w:p>
    <w:p>
      <w:pPr>
        <w:pStyle w:val="ListBullet"/>
        <w:ind w:left="283"/>
      </w:pPr>
      <w:r>
        <w:rPr>
          <w:sz w:val="21"/>
        </w:rPr>
        <w:t>☐  Descrição do facto (data, sistema, contexto)</w:t>
      </w:r>
    </w:p>
    <w:p>
      <w:pPr>
        <w:pStyle w:val="ListBullet"/>
        <w:ind w:left="283"/>
      </w:pPr>
      <w:r>
        <w:rPr>
          <w:sz w:val="21"/>
        </w:rPr>
        <w:t>☐  Direito alegadamente afetado</w:t>
      </w:r>
    </w:p>
    <w:p>
      <w:pPr>
        <w:pStyle w:val="ListBullet"/>
        <w:ind w:left="283"/>
      </w:pPr>
      <w:r>
        <w:rPr>
          <w:sz w:val="21"/>
        </w:rPr>
        <w:t>☐  Pretensão (correção, explicação, compensação)</w:t>
      </w:r>
    </w:p>
    <w:p>
      <w:pPr>
        <w:pStyle w:val="ListBullet"/>
        <w:ind w:left="283"/>
      </w:pPr>
      <w:r>
        <w:rPr>
          <w:sz w:val="21"/>
        </w:rPr>
        <w:t>☐  Documentos relevantes (opcional)</w:t>
      </w:r>
    </w:p>
    <w:p>
      <w:pPr>
        <w:pStyle w:val="Heading2"/>
      </w:pPr>
      <w:r>
        <w:rPr>
          <w:rFonts w:ascii="Calibri" w:hAnsi="Calibri"/>
          <w:color w:val="0F172A"/>
        </w:rPr>
        <w:t>5. Estatísticas (transparência)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Período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Total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Resolvidas internamente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Encaminhadas ANACOM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Em curso</w:t>
            </w:r>
          </w:p>
        </w:tc>
      </w:tr>
      <w:tr>
        <w:tc>
          <w:tcPr>
            <w:tcW w:type="dxa" w:w="1881"/>
          </w:tcPr>
          <w:p>
            <w:r>
              <w:t>2026-Q1</w:t>
            </w:r>
          </w:p>
        </w:tc>
        <w:tc>
          <w:tcPr>
            <w:tcW w:type="dxa" w:w="1881"/>
          </w:tcPr>
          <w:p>
            <w:r>
              <w:t>8</w:t>
            </w:r>
          </w:p>
        </w:tc>
        <w:tc>
          <w:tcPr>
            <w:tcW w:type="dxa" w:w="1881"/>
          </w:tcPr>
          <w:p>
            <w:r>
              <w:t>7 (88%)</w:t>
            </w:r>
          </w:p>
        </w:tc>
        <w:tc>
          <w:tcPr>
            <w:tcW w:type="dxa" w:w="1881"/>
          </w:tcPr>
          <w:p>
            <w:r>
              <w:t>1</w:t>
            </w:r>
          </w:p>
        </w:tc>
        <w:tc>
          <w:tcPr>
            <w:tcW w:type="dxa" w:w="1881"/>
          </w:tcPr>
          <w:p>
            <w:r>
              <w:t>0</w:t>
            </w:r>
          </w:p>
        </w:tc>
      </w:tr>
      <w:tr>
        <w:tc>
          <w:tcPr>
            <w:tcW w:type="dxa" w:w="1881"/>
          </w:tcPr>
          <w:p>
            <w:r>
              <w:t>2025-Q4</w:t>
            </w:r>
          </w:p>
        </w:tc>
        <w:tc>
          <w:tcPr>
            <w:tcW w:type="dxa" w:w="1881"/>
          </w:tcPr>
          <w:p>
            <w:r>
              <w:t>6</w:t>
            </w:r>
          </w:p>
        </w:tc>
        <w:tc>
          <w:tcPr>
            <w:tcW w:type="dxa" w:w="1881"/>
          </w:tcPr>
          <w:p>
            <w:r>
              <w:t>6 (100%)</w:t>
            </w:r>
          </w:p>
        </w:tc>
        <w:tc>
          <w:tcPr>
            <w:tcW w:type="dxa" w:w="1881"/>
          </w:tcPr>
          <w:p>
            <w:r>
              <w:t>0</w:t>
            </w:r>
          </w:p>
        </w:tc>
        <w:tc>
          <w:tcPr>
            <w:tcW w:type="dxa" w:w="1881"/>
          </w:tcPr>
          <w:p>
            <w:r>
              <w:t>0</w:t>
            </w:r>
          </w:p>
        </w:tc>
      </w:tr>
      <w:tr>
        <w:tc>
          <w:tcPr>
            <w:tcW w:type="dxa" w:w="1881"/>
          </w:tcPr>
          <w:p>
            <w:r>
              <w:t>2025-Q3</w:t>
            </w:r>
          </w:p>
        </w:tc>
        <w:tc>
          <w:tcPr>
            <w:tcW w:type="dxa" w:w="1881"/>
          </w:tcPr>
          <w:p>
            <w:r>
              <w:t>4</w:t>
            </w:r>
          </w:p>
        </w:tc>
        <w:tc>
          <w:tcPr>
            <w:tcW w:type="dxa" w:w="1881"/>
          </w:tcPr>
          <w:p>
            <w:r>
              <w:t>4 (100%)</w:t>
            </w:r>
          </w:p>
        </w:tc>
        <w:tc>
          <w:tcPr>
            <w:tcW w:type="dxa" w:w="1881"/>
          </w:tcPr>
          <w:p>
            <w:r>
              <w:t>0</w:t>
            </w:r>
          </w:p>
        </w:tc>
        <w:tc>
          <w:tcPr>
            <w:tcW w:type="dxa" w:w="1881"/>
          </w:tcPr>
          <w:p>
            <w:r>
              <w:t>0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6. Casos críticos - escalação imediata</w:t>
      </w:r>
    </w:p>
    <w:p>
      <w:r>
        <w:rPr>
          <w:sz w:val="22"/>
        </w:rPr>
        <w:t>Reclamações que aleguem dano físico, discriminação grave ou violação de direitos fundamentais são escaladas imediatamente para CEO + DPO + Comité IA, com avaliação Art. 73 em 24h.</w:t>
      </w:r>
    </w:p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