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Procedimento de Teste Adversarial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POL-ADV-001 v1.0 - Testes adversariais para IA de alto risco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15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Procedimento de Teste Adversarial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Procedimento aplicado ao MedTriage e HR-Match. Inclui resultados dos últimos testes.</w:t>
      </w:r>
    </w:p>
    <w:p>
      <w:pPr>
        <w:pStyle w:val="Heading2"/>
      </w:pPr>
      <w:r>
        <w:rPr>
          <w:rFonts w:ascii="Calibri" w:hAnsi="Calibri"/>
          <w:color w:val="0F172A"/>
        </w:rPr>
        <w:t>1. Tipos de ataque testados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Tipo de ataque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Configuração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Ferramenta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Limiar de aceitação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Resultado real</w:t>
            </w:r>
          </w:p>
        </w:tc>
      </w:tr>
      <w:tr>
        <w:tc>
          <w:tcPr>
            <w:tcW w:type="dxa" w:w="1881"/>
          </w:tcPr>
          <w:p>
            <w:r>
              <w:t>FGSM (Fast Gradient Sign Method)</w:t>
            </w:r>
          </w:p>
        </w:tc>
        <w:tc>
          <w:tcPr>
            <w:tcW w:type="dxa" w:w="1881"/>
          </w:tcPr>
          <w:p>
            <w:r>
              <w:t>ε=0.05 e 0.10</w:t>
            </w:r>
          </w:p>
        </w:tc>
        <w:tc>
          <w:tcPr>
            <w:tcW w:type="dxa" w:w="1881"/>
          </w:tcPr>
          <w:p>
            <w:r>
              <w:t>CleverHans 4.0</w:t>
            </w:r>
          </w:p>
        </w:tc>
        <w:tc>
          <w:tcPr>
            <w:tcW w:type="dxa" w:w="1881"/>
          </w:tcPr>
          <w:p>
            <w:r>
              <w:t>Drop accuracy ≤5%</w:t>
            </w:r>
          </w:p>
        </w:tc>
        <w:tc>
          <w:tcPr>
            <w:tcW w:type="dxa" w:w="1881"/>
          </w:tcPr>
          <w:p>
            <w:r>
              <w:t>MedTriage: 3.2% ✓; HR-Match: 4.1% ✓</w:t>
            </w:r>
          </w:p>
        </w:tc>
      </w:tr>
      <w:tr>
        <w:tc>
          <w:tcPr>
            <w:tcW w:type="dxa" w:w="1881"/>
          </w:tcPr>
          <w:p>
            <w:r>
              <w:t>PGD (Projected Gradient Descent)</w:t>
            </w:r>
          </w:p>
        </w:tc>
        <w:tc>
          <w:tcPr>
            <w:tcW w:type="dxa" w:w="1881"/>
          </w:tcPr>
          <w:p>
            <w:r>
              <w:t>20 iter, ε=0.05</w:t>
            </w:r>
          </w:p>
        </w:tc>
        <w:tc>
          <w:tcPr>
            <w:tcW w:type="dxa" w:w="1881"/>
          </w:tcPr>
          <w:p>
            <w:r>
              <w:t>CleverHans 4.0</w:t>
            </w:r>
          </w:p>
        </w:tc>
        <w:tc>
          <w:tcPr>
            <w:tcW w:type="dxa" w:w="1881"/>
          </w:tcPr>
          <w:p>
            <w:r>
              <w:t>Drop ≤7%</w:t>
            </w:r>
          </w:p>
        </w:tc>
        <w:tc>
          <w:tcPr>
            <w:tcW w:type="dxa" w:w="1881"/>
          </w:tcPr>
          <w:p>
            <w:r>
              <w:t>MedTriage: 5.8% ✓</w:t>
            </w:r>
          </w:p>
        </w:tc>
      </w:tr>
      <w:tr>
        <w:tc>
          <w:tcPr>
            <w:tcW w:type="dxa" w:w="1881"/>
          </w:tcPr>
          <w:p>
            <w:r>
              <w:t>Boundary Attack</w:t>
            </w:r>
          </w:p>
        </w:tc>
        <w:tc>
          <w:tcPr>
            <w:tcW w:type="dxa" w:w="1881"/>
          </w:tcPr>
          <w:p>
            <w:r>
              <w:t>Black-box</w:t>
            </w:r>
          </w:p>
        </w:tc>
        <w:tc>
          <w:tcPr>
            <w:tcW w:type="dxa" w:w="1881"/>
          </w:tcPr>
          <w:p>
            <w:r>
              <w:t>Foolbox 3.3</w:t>
            </w:r>
          </w:p>
        </w:tc>
        <w:tc>
          <w:tcPr>
            <w:tcW w:type="dxa" w:w="1881"/>
          </w:tcPr>
          <w:p>
            <w:r>
              <w:t>Drop ≤10%</w:t>
            </w:r>
          </w:p>
        </w:tc>
        <w:tc>
          <w:tcPr>
            <w:tcW w:type="dxa" w:w="1881"/>
          </w:tcPr>
          <w:p>
            <w:r>
              <w:t>MedTriage: 8.5% ✓</w:t>
            </w:r>
          </w:p>
        </w:tc>
      </w:tr>
      <w:tr>
        <w:tc>
          <w:tcPr>
            <w:tcW w:type="dxa" w:w="1881"/>
          </w:tcPr>
          <w:p>
            <w:r>
              <w:t>Prompt injection (LLM)</w:t>
            </w:r>
          </w:p>
        </w:tc>
        <w:tc>
          <w:tcPr>
            <w:tcW w:type="dxa" w:w="1881"/>
          </w:tcPr>
          <w:p>
            <w:r>
              <w:t>OWASP LLM01-10 testset</w:t>
            </w:r>
          </w:p>
        </w:tc>
        <w:tc>
          <w:tcPr>
            <w:tcW w:type="dxa" w:w="1881"/>
          </w:tcPr>
          <w:p>
            <w:r>
              <w:t>PromptBench</w:t>
            </w:r>
          </w:p>
        </w:tc>
        <w:tc>
          <w:tcPr>
            <w:tcW w:type="dxa" w:w="1881"/>
          </w:tcPr>
          <w:p>
            <w:r>
              <w:t>Bloqueio ≥95%</w:t>
            </w:r>
          </w:p>
        </w:tc>
        <w:tc>
          <w:tcPr>
            <w:tcW w:type="dxa" w:w="1881"/>
          </w:tcPr>
          <w:p>
            <w:r>
              <w:t>CodeAssist: 96.4% ✓</w:t>
            </w:r>
          </w:p>
        </w:tc>
      </w:tr>
      <w:tr>
        <w:tc>
          <w:tcPr>
            <w:tcW w:type="dxa" w:w="1881"/>
          </w:tcPr>
          <w:p>
            <w:r>
              <w:t>Membership inference</w:t>
            </w:r>
          </w:p>
        </w:tc>
        <w:tc>
          <w:tcPr>
            <w:tcW w:type="dxa" w:w="1881"/>
          </w:tcPr>
          <w:p>
            <w:r>
              <w:t>Shokri 2017</w:t>
            </w:r>
          </w:p>
        </w:tc>
        <w:tc>
          <w:tcPr>
            <w:tcW w:type="dxa" w:w="1881"/>
          </w:tcPr>
          <w:p>
            <w:r>
              <w:t>TensorFlow Privacy</w:t>
            </w:r>
          </w:p>
        </w:tc>
        <w:tc>
          <w:tcPr>
            <w:tcW w:type="dxa" w:w="1881"/>
          </w:tcPr>
          <w:p>
            <w:r>
              <w:t>AUC ≤ 0.55</w:t>
            </w:r>
          </w:p>
        </w:tc>
        <w:tc>
          <w:tcPr>
            <w:tcW w:type="dxa" w:w="1881"/>
          </w:tcPr>
          <w:p>
            <w:r>
              <w:t>MedTriage: 0.52 ✓</w:t>
            </w:r>
          </w:p>
        </w:tc>
      </w:tr>
      <w:tr>
        <w:tc>
          <w:tcPr>
            <w:tcW w:type="dxa" w:w="1881"/>
          </w:tcPr>
          <w:p>
            <w:r>
              <w:t>Model inversion</w:t>
            </w:r>
          </w:p>
        </w:tc>
        <w:tc>
          <w:tcPr>
            <w:tcW w:type="dxa" w:w="1881"/>
          </w:tcPr>
          <w:p>
            <w:r>
              <w:t>Fredrikson 2015</w:t>
            </w:r>
          </w:p>
        </w:tc>
        <w:tc>
          <w:tcPr>
            <w:tcW w:type="dxa" w:w="1881"/>
          </w:tcPr>
          <w:p>
            <w:r>
              <w:t>Custom</w:t>
            </w:r>
          </w:p>
        </w:tc>
        <w:tc>
          <w:tcPr>
            <w:tcW w:type="dxa" w:w="1881"/>
          </w:tcPr>
          <w:p>
            <w:r>
              <w:t>Sem reconstrução PII</w:t>
            </w:r>
          </w:p>
        </w:tc>
        <w:tc>
          <w:tcPr>
            <w:tcW w:type="dxa" w:w="1881"/>
          </w:tcPr>
          <w:p>
            <w:r>
              <w:t>MedTriage: ✓</w:t>
            </w:r>
          </w:p>
        </w:tc>
      </w:tr>
      <w:tr>
        <w:tc>
          <w:tcPr>
            <w:tcW w:type="dxa" w:w="1881"/>
          </w:tcPr>
          <w:p>
            <w:r>
              <w:t>Backdoor / trigger pattern</w:t>
            </w:r>
          </w:p>
        </w:tc>
        <w:tc>
          <w:tcPr>
            <w:tcW w:type="dxa" w:w="1881"/>
          </w:tcPr>
          <w:p>
            <w:r>
              <w:t>Lista de gatilhos conhecidos</w:t>
            </w:r>
          </w:p>
        </w:tc>
        <w:tc>
          <w:tcPr>
            <w:tcW w:type="dxa" w:w="1881"/>
          </w:tcPr>
          <w:p>
            <w:r>
              <w:t>NeuralCleanse</w:t>
            </w:r>
          </w:p>
        </w:tc>
        <w:tc>
          <w:tcPr>
            <w:tcW w:type="dxa" w:w="1881"/>
          </w:tcPr>
          <w:p>
            <w:r>
              <w:t>0 backdoors</w:t>
            </w:r>
          </w:p>
        </w:tc>
        <w:tc>
          <w:tcPr>
            <w:tcW w:type="dxa" w:w="1881"/>
          </w:tcPr>
          <w:p>
            <w:r>
              <w:t>MedTriage: ✓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Frequência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Frequência</w:t>
            </w:r>
          </w:p>
        </w:tc>
        <w:tc>
          <w:tcPr>
            <w:tcW w:type="dxa" w:w="4703"/>
            <w:shd w:val="clear" w:color="auto" w:fill="0F172A"/>
          </w:tcPr>
          <w:p>
            <w:r>
              <w:rPr>
                <w:b/>
                <w:color w:val="FFFFFF"/>
              </w:rPr>
              <w:t>Escopo</w:t>
            </w:r>
          </w:p>
        </w:tc>
      </w:tr>
      <w:tr>
        <w:tc>
          <w:tcPr>
            <w:tcW w:type="dxa" w:w="4703"/>
          </w:tcPr>
          <w:p>
            <w:r>
              <w:t>Por release</w:t>
            </w:r>
          </w:p>
        </w:tc>
        <w:tc>
          <w:tcPr>
            <w:tcW w:type="dxa" w:w="4703"/>
          </w:tcPr>
          <w:p>
            <w:r>
              <w:t>Suite completa antes de canary</w:t>
            </w:r>
          </w:p>
        </w:tc>
      </w:tr>
      <w:tr>
        <w:tc>
          <w:tcPr>
            <w:tcW w:type="dxa" w:w="4703"/>
          </w:tcPr>
          <w:p>
            <w:r>
              <w:t>Mensal</w:t>
            </w:r>
          </w:p>
        </w:tc>
        <w:tc>
          <w:tcPr>
            <w:tcW w:type="dxa" w:w="4703"/>
          </w:tcPr>
          <w:p>
            <w:r>
              <w:t>Suite reduzida (FGSM + prompt injection)</w:t>
            </w:r>
          </w:p>
        </w:tc>
      </w:tr>
      <w:tr>
        <w:tc>
          <w:tcPr>
            <w:tcW w:type="dxa" w:w="4703"/>
          </w:tcPr>
          <w:p>
            <w:r>
              <w:t>Anual (externa)</w:t>
            </w:r>
          </w:p>
        </w:tc>
        <w:tc>
          <w:tcPr>
            <w:tcW w:type="dxa" w:w="4703"/>
          </w:tcPr>
          <w:p>
            <w:r>
              <w:t>Red team contratado (KPMG Cyber)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Mitigações implementadas</w:t>
      </w:r>
    </w:p>
    <w:p>
      <w:pPr>
        <w:pStyle w:val="ListBullet"/>
        <w:ind w:left="283"/>
      </w:pPr>
      <w:r>
        <w:rPr>
          <w:sz w:val="21"/>
        </w:rPr>
        <w:t>☑  Adversarial training no pipeline (10% dos batches com perturbações)</w:t>
      </w:r>
    </w:p>
    <w:p>
      <w:pPr>
        <w:pStyle w:val="ListBullet"/>
        <w:ind w:left="283"/>
      </w:pPr>
      <w:r>
        <w:rPr>
          <w:sz w:val="21"/>
        </w:rPr>
        <w:t>☑  Detecção de input anómalo (Mahalanobis distance &gt;3σ → alerta)</w:t>
      </w:r>
    </w:p>
    <w:p>
      <w:pPr>
        <w:pStyle w:val="ListBullet"/>
        <w:ind w:left="283"/>
      </w:pPr>
      <w:r>
        <w:rPr>
          <w:sz w:val="21"/>
        </w:rPr>
        <w:t>☑  Differential privacy nos GPAI fine-tuning (ε=8.0)</w:t>
      </w:r>
    </w:p>
    <w:p>
      <w:pPr>
        <w:pStyle w:val="ListBullet"/>
        <w:ind w:left="283"/>
      </w:pPr>
      <w:r>
        <w:rPr>
          <w:sz w:val="21"/>
        </w:rPr>
        <w:t>☑  System prompts robustos com regras de defesa</w:t>
      </w:r>
    </w:p>
    <w:p>
      <w:pPr>
        <w:pStyle w:val="ListBullet"/>
        <w:ind w:left="283"/>
      </w:pPr>
      <w:r>
        <w:rPr>
          <w:sz w:val="21"/>
        </w:rPr>
        <w:t>☑  Sandbox de output (CodeAssist) - exec apenas em ambiente isolado</w:t>
      </w:r>
    </w:p>
    <w:p>
      <w:pPr>
        <w:pStyle w:val="ListBullet"/>
        <w:ind w:left="283"/>
      </w:pPr>
      <w:r>
        <w:rPr>
          <w:sz w:val="21"/>
        </w:rPr>
        <w:t>☑  Watermarking de modelos para deteção de cópia ilícita</w:t>
      </w:r>
    </w:p>
    <w:p>
      <w:pPr>
        <w:pStyle w:val="Heading2"/>
      </w:pPr>
      <w:r>
        <w:rPr>
          <w:rFonts w:ascii="Calibri" w:hAnsi="Calibri"/>
          <w:color w:val="0F172A"/>
        </w:rPr>
        <w:t>4. Última red team (2026-03)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Red team</w:t>
            </w:r>
          </w:p>
        </w:tc>
        <w:tc>
          <w:tcPr>
            <w:tcW w:type="dxa" w:w="6236"/>
          </w:tcPr>
          <w:p>
            <w:r>
              <w:t>KPMG Cyber Portugal - equipa 4 pessoas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Duração</w:t>
            </w:r>
          </w:p>
        </w:tc>
        <w:tc>
          <w:tcPr>
            <w:tcW w:type="dxa" w:w="6236"/>
          </w:tcPr>
          <w:p>
            <w:r>
              <w:t>2 semanas (2026-03-01 a 2026-03-14)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Findings</w:t>
            </w:r>
          </w:p>
        </w:tc>
        <w:tc>
          <w:tcPr>
            <w:tcW w:type="dxa" w:w="6236"/>
          </w:tcPr>
          <w:p>
            <w:r>
              <w:t>2 médias (corrigidas em 30 dias), 0 críticas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Próximo</w:t>
            </w:r>
          </w:p>
        </w:tc>
        <w:tc>
          <w:tcPr>
            <w:tcW w:type="dxa" w:w="6236"/>
          </w:tcPr>
          <w:p>
            <w:r>
              <w:t>2027-03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