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Sistema de Gestão da Qualidade (QMS)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POL-QMS-001 v1.0 - Conforme Art. 17 do AI Act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17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Sistema de Gestão da Qualidade (QMS)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QMS institucional da TechMed para sistemas IA alto risco. Alinhado com ISO/IEC 42001:2023.</w:t>
      </w:r>
    </w:p>
    <w:p>
      <w:pPr>
        <w:pStyle w:val="Heading2"/>
      </w:pPr>
      <w:r>
        <w:rPr>
          <w:rFonts w:ascii="Calibri" w:hAnsi="Calibri"/>
          <w:color w:val="0F172A"/>
        </w:rPr>
        <w:t>1. Âmbito</w:t>
      </w:r>
    </w:p>
    <w:p>
      <w:r>
        <w:rPr>
          <w:sz w:val="22"/>
        </w:rPr>
        <w:t>O presente QMS abrange todos os sistemas IA de alto risco fornecidos pela TechMed Solutions, S.A., desde a conceção até ao descomissionamento. Inclui MedTriage AI e quaisquer sistemas alto risco futuros.</w:t>
      </w:r>
    </w:p>
    <w:p>
      <w:pPr>
        <w:pStyle w:val="Heading2"/>
      </w:pPr>
      <w:r>
        <w:rPr>
          <w:rFonts w:ascii="Calibri" w:hAnsi="Calibri"/>
          <w:color w:val="0F172A"/>
        </w:rPr>
        <w:t>2. Estrutura do QMS - 13 elementos do Art. 17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Elemento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Documento / processo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</w:tr>
      <w:tr>
        <w:tc>
          <w:tcPr>
            <w:tcW w:type="dxa" w:w="3135"/>
          </w:tcPr>
          <w:p>
            <w:r>
              <w:t>(a) Estratégia conformidade regulatória</w:t>
            </w:r>
          </w:p>
        </w:tc>
        <w:tc>
          <w:tcPr>
            <w:tcW w:type="dxa" w:w="3135"/>
          </w:tcPr>
          <w:p>
            <w:r>
              <w:t>PGR-IA-001 + plano anual</w:t>
            </w:r>
          </w:p>
        </w:tc>
        <w:tc>
          <w:tcPr>
            <w:tcW w:type="dxa" w:w="3135"/>
          </w:tcPr>
          <w:p>
            <w:r>
              <w:t>Maria Silva</w:t>
            </w:r>
          </w:p>
        </w:tc>
      </w:tr>
      <w:tr>
        <w:tc>
          <w:tcPr>
            <w:tcW w:type="dxa" w:w="3135"/>
          </w:tcPr>
          <w:p>
            <w:r>
              <w:t>(b) Procedimentos de conceção</w:t>
            </w:r>
          </w:p>
        </w:tc>
        <w:tc>
          <w:tcPr>
            <w:tcW w:type="dxa" w:w="3135"/>
          </w:tcPr>
          <w:p>
            <w:r>
              <w:t>Processo design review por feature</w:t>
            </w:r>
          </w:p>
        </w:tc>
        <w:tc>
          <w:tcPr>
            <w:tcW w:type="dxa" w:w="3135"/>
          </w:tcPr>
          <w:p>
            <w:r>
              <w:t>Eng. Carlos (CTO)</w:t>
            </w:r>
          </w:p>
        </w:tc>
      </w:tr>
      <w:tr>
        <w:tc>
          <w:tcPr>
            <w:tcW w:type="dxa" w:w="3135"/>
          </w:tcPr>
          <w:p>
            <w:r>
              <w:t>(c) Procedimentos de desenvolvimento</w:t>
            </w:r>
          </w:p>
        </w:tc>
        <w:tc>
          <w:tcPr>
            <w:tcW w:type="dxa" w:w="3135"/>
          </w:tcPr>
          <w:p>
            <w:r>
              <w:t>SDLC documentado, code review, CI/CD</w:t>
            </w:r>
          </w:p>
        </w:tc>
        <w:tc>
          <w:tcPr>
            <w:tcW w:type="dxa" w:w="3135"/>
          </w:tcPr>
          <w:p>
            <w:r>
              <w:t>CTO</w:t>
            </w:r>
          </w:p>
        </w:tc>
      </w:tr>
      <w:tr>
        <w:tc>
          <w:tcPr>
            <w:tcW w:type="dxa" w:w="3135"/>
          </w:tcPr>
          <w:p>
            <w:r>
              <w:t>(d) Procedimentos de teste</w:t>
            </w:r>
          </w:p>
        </w:tc>
        <w:tc>
          <w:tcPr>
            <w:tcW w:type="dxa" w:w="3135"/>
          </w:tcPr>
          <w:p>
            <w:r>
              <w:t>POL-TEST-001 - política de teste</w:t>
            </w:r>
          </w:p>
        </w:tc>
        <w:tc>
          <w:tcPr>
            <w:tcW w:type="dxa" w:w="3135"/>
          </w:tcPr>
          <w:p>
            <w:r>
              <w:t>QA Lead</w:t>
            </w:r>
          </w:p>
        </w:tc>
      </w:tr>
      <w:tr>
        <w:tc>
          <w:tcPr>
            <w:tcW w:type="dxa" w:w="3135"/>
          </w:tcPr>
          <w:p>
            <w:r>
              <w:t>(e) Especificações técnicas</w:t>
            </w:r>
          </w:p>
        </w:tc>
        <w:tc>
          <w:tcPr>
            <w:tcW w:type="dxa" w:w="3135"/>
          </w:tcPr>
          <w:p>
            <w:r>
              <w:t>Specs por release, MLflow versionado</w:t>
            </w:r>
          </w:p>
        </w:tc>
        <w:tc>
          <w:tcPr>
            <w:tcW w:type="dxa" w:w="3135"/>
          </w:tcPr>
          <w:p>
            <w:r>
              <w:t>Tech Lead</w:t>
            </w:r>
          </w:p>
        </w:tc>
      </w:tr>
      <w:tr>
        <w:tc>
          <w:tcPr>
            <w:tcW w:type="dxa" w:w="3135"/>
          </w:tcPr>
          <w:p>
            <w:r>
              <w:t>(f) Sistemas de gestão de dados</w:t>
            </w:r>
          </w:p>
        </w:tc>
        <w:tc>
          <w:tcPr>
            <w:tcW w:type="dxa" w:w="3135"/>
          </w:tcPr>
          <w:p>
            <w:r>
              <w:t>POL-DATA-001 + Plano Governança Dados</w:t>
            </w:r>
          </w:p>
        </w:tc>
        <w:tc>
          <w:tcPr>
            <w:tcW w:type="dxa" w:w="3135"/>
          </w:tcPr>
          <w:p>
            <w:r>
              <w:t>Data Officer + DPO</w:t>
            </w:r>
          </w:p>
        </w:tc>
      </w:tr>
      <w:tr>
        <w:tc>
          <w:tcPr>
            <w:tcW w:type="dxa" w:w="3135"/>
          </w:tcPr>
          <w:p>
            <w:r>
              <w:t>(g) Sistema de gestão de risco</w:t>
            </w:r>
          </w:p>
        </w:tc>
        <w:tc>
          <w:tcPr>
            <w:tcW w:type="dxa" w:w="3135"/>
          </w:tcPr>
          <w:p>
            <w:r>
              <w:t>PGR-IA-001 (Art. 9)</w:t>
            </w:r>
          </w:p>
        </w:tc>
        <w:tc>
          <w:tcPr>
            <w:tcW w:type="dxa" w:w="3135"/>
          </w:tcPr>
          <w:p>
            <w:r>
              <w:t>AI Officer</w:t>
            </w:r>
          </w:p>
        </w:tc>
      </w:tr>
      <w:tr>
        <w:tc>
          <w:tcPr>
            <w:tcW w:type="dxa" w:w="3135"/>
          </w:tcPr>
          <w:p>
            <w:r>
              <w:t>(h) Estabelecimento, implementação, manutenção do plano de monitorização</w:t>
            </w:r>
          </w:p>
        </w:tc>
        <w:tc>
          <w:tcPr>
            <w:tcW w:type="dxa" w:w="3135"/>
          </w:tcPr>
          <w:p>
            <w:r>
              <w:t>PMM-MED-001 (Art. 72)</w:t>
            </w:r>
          </w:p>
        </w:tc>
        <w:tc>
          <w:tcPr>
            <w:tcW w:type="dxa" w:w="3135"/>
          </w:tcPr>
          <w:p>
            <w:r>
              <w:t>AI Officer</w:t>
            </w:r>
          </w:p>
        </w:tc>
      </w:tr>
      <w:tr>
        <w:tc>
          <w:tcPr>
            <w:tcW w:type="dxa" w:w="3135"/>
          </w:tcPr>
          <w:p>
            <w:r>
              <w:t>(i) Procedimentos de relato de incidentes (Art. 73)</w:t>
            </w:r>
          </w:p>
        </w:tc>
        <w:tc>
          <w:tcPr>
            <w:tcW w:type="dxa" w:w="3135"/>
          </w:tcPr>
          <w:p>
            <w:r>
              <w:t>POL-INC-001 + playbook</w:t>
            </w:r>
          </w:p>
        </w:tc>
        <w:tc>
          <w:tcPr>
            <w:tcW w:type="dxa" w:w="3135"/>
          </w:tcPr>
          <w:p>
            <w:r>
              <w:t>AI Officer + CISO</w:t>
            </w:r>
          </w:p>
        </w:tc>
      </w:tr>
      <w:tr>
        <w:tc>
          <w:tcPr>
            <w:tcW w:type="dxa" w:w="3135"/>
          </w:tcPr>
          <w:p>
            <w:r>
              <w:t>(j) Comunicação com autoridades</w:t>
            </w:r>
          </w:p>
        </w:tc>
        <w:tc>
          <w:tcPr>
            <w:tcW w:type="dxa" w:w="3135"/>
          </w:tcPr>
          <w:p>
            <w:r>
              <w:t>POL-COMM-001 (canal único: AI Officer)</w:t>
            </w:r>
          </w:p>
        </w:tc>
        <w:tc>
          <w:tcPr>
            <w:tcW w:type="dxa" w:w="3135"/>
          </w:tcPr>
          <w:p>
            <w:r>
              <w:t>AI Officer</w:t>
            </w:r>
          </w:p>
        </w:tc>
      </w:tr>
      <w:tr>
        <w:tc>
          <w:tcPr>
            <w:tcW w:type="dxa" w:w="3135"/>
          </w:tcPr>
          <w:p>
            <w:r>
              <w:t>(k) Sistema de gestão de registos</w:t>
            </w:r>
          </w:p>
        </w:tc>
        <w:tc>
          <w:tcPr>
            <w:tcW w:type="dxa" w:w="3135"/>
          </w:tcPr>
          <w:p>
            <w:r>
              <w:t>POL-LOG-001 + DMS interno</w:t>
            </w:r>
          </w:p>
        </w:tc>
        <w:tc>
          <w:tcPr>
            <w:tcW w:type="dxa" w:w="3135"/>
          </w:tcPr>
          <w:p>
            <w:r>
              <w:t>CISO</w:t>
            </w:r>
          </w:p>
        </w:tc>
      </w:tr>
      <w:tr>
        <w:tc>
          <w:tcPr>
            <w:tcW w:type="dxa" w:w="3135"/>
          </w:tcPr>
          <w:p>
            <w:r>
              <w:t>(l) Gestão de recursos (incluindo segurança fornecedores)</w:t>
            </w:r>
          </w:p>
        </w:tc>
        <w:tc>
          <w:tcPr>
            <w:tcW w:type="dxa" w:w="3135"/>
          </w:tcPr>
          <w:p>
            <w:r>
              <w:t>POL-SUP-001 + matriz fornecedores</w:t>
            </w:r>
          </w:p>
        </w:tc>
        <w:tc>
          <w:tcPr>
            <w:tcW w:type="dxa" w:w="3135"/>
          </w:tcPr>
          <w:p>
            <w:r>
              <w:t>CISO + Procurement</w:t>
            </w:r>
          </w:p>
        </w:tc>
      </w:tr>
      <w:tr>
        <w:tc>
          <w:tcPr>
            <w:tcW w:type="dxa" w:w="3135"/>
          </w:tcPr>
          <w:p>
            <w:r>
              <w:t>(m) Quadro de prestação de contas e responsabilidade</w:t>
            </w:r>
          </w:p>
        </w:tc>
        <w:tc>
          <w:tcPr>
            <w:tcW w:type="dxa" w:w="3135"/>
          </w:tcPr>
          <w:p>
            <w:r>
              <w:t>Matriz RACI + Comité IA + acta revisão gestão</w:t>
            </w:r>
          </w:p>
        </w:tc>
        <w:tc>
          <w:tcPr>
            <w:tcW w:type="dxa" w:w="3135"/>
          </w:tcPr>
          <w:p>
            <w:r>
              <w:t>CEO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Princípios</w:t>
      </w:r>
    </w:p>
    <w:p>
      <w:pPr>
        <w:pStyle w:val="ListBullet"/>
        <w:ind w:left="283"/>
      </w:pPr>
      <w:r>
        <w:rPr>
          <w:sz w:val="21"/>
        </w:rPr>
        <w:t>☑  Documentado em políticas, procedimentos e instruções escritas</w:t>
      </w:r>
    </w:p>
    <w:p>
      <w:pPr>
        <w:pStyle w:val="ListBullet"/>
        <w:ind w:left="283"/>
      </w:pPr>
      <w:r>
        <w:rPr>
          <w:sz w:val="21"/>
        </w:rPr>
        <w:t>☑  Sistemático e organizado</w:t>
      </w:r>
    </w:p>
    <w:p>
      <w:pPr>
        <w:pStyle w:val="ListBullet"/>
        <w:ind w:left="283"/>
      </w:pPr>
      <w:r>
        <w:rPr>
          <w:sz w:val="21"/>
        </w:rPr>
        <w:t>☑  Proporcional à dimensão da organização (~250 colaboradores) sem comprometer rigor</w:t>
      </w:r>
    </w:p>
    <w:p>
      <w:pPr>
        <w:pStyle w:val="ListBullet"/>
        <w:ind w:left="283"/>
      </w:pPr>
      <w:r>
        <w:rPr>
          <w:sz w:val="21"/>
        </w:rPr>
        <w:t>☑  Integrado com outros sistemas de gestão (ISO 9001, ISO 27001, ISO 13485)</w:t>
      </w:r>
    </w:p>
    <w:p>
      <w:pPr>
        <w:pStyle w:val="ListBullet"/>
        <w:ind w:left="283"/>
      </w:pPr>
      <w:r>
        <w:rPr>
          <w:sz w:val="21"/>
        </w:rPr>
        <w:t>☑  Revisto anualmente pelo Comité IA + administração</w:t>
      </w:r>
    </w:p>
    <w:p>
      <w:pPr>
        <w:pStyle w:val="Heading2"/>
      </w:pPr>
      <w:r>
        <w:rPr>
          <w:rFonts w:ascii="Calibri" w:hAnsi="Calibri"/>
          <w:color w:val="0F172A"/>
        </w:rPr>
        <w:t>4. Auditoria interna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Trimestral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Equipa</w:t>
            </w:r>
          </w:p>
        </w:tc>
        <w:tc>
          <w:tcPr>
            <w:tcW w:type="dxa" w:w="6236"/>
          </w:tcPr>
          <w:p>
            <w:r>
              <w:t>2 auditores internos (compliance + qualidade)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 auditoria</w:t>
            </w:r>
          </w:p>
        </w:tc>
        <w:tc>
          <w:tcPr>
            <w:tcW w:type="dxa" w:w="6236"/>
          </w:tcPr>
          <w:p>
            <w:r>
              <w:t>2026-03-20/2026-04-05 - score 92%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NCs abertas</w:t>
            </w:r>
          </w:p>
        </w:tc>
        <w:tc>
          <w:tcPr>
            <w:tcW w:type="dxa" w:w="6236"/>
          </w:tcPr>
          <w:p>
            <w:r>
              <w:t>2 maiores (em remediação até Q3) + 0 menores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Auditoria externa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Anual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</w:t>
            </w:r>
          </w:p>
        </w:tc>
        <w:tc>
          <w:tcPr>
            <w:tcW w:type="dxa" w:w="6236"/>
          </w:tcPr>
          <w:p>
            <w:r>
              <w:t>KPMG Portugal (contrato 2026-014)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</w:t>
            </w:r>
          </w:p>
        </w:tc>
        <w:tc>
          <w:tcPr>
            <w:tcW w:type="dxa" w:w="6236"/>
          </w:tcPr>
          <w:p>
            <w:r>
              <w:t>2026-Q3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Certificação alvo</w:t>
            </w:r>
          </w:p>
        </w:tc>
        <w:tc>
          <w:tcPr>
            <w:tcW w:type="dxa" w:w="6236"/>
          </w:tcPr>
          <w:p>
            <w:r>
              <w:t>ISO/IEC 42001:2023 (em curso) - cert prevista 2026-Q4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Revisão pela gestão</w:t>
      </w:r>
    </w:p>
    <w:p>
      <w:r>
        <w:rPr>
          <w:sz w:val="22"/>
        </w:rPr>
        <w:t>Trimestral - Comité IA + CEO. Última: 2026-04-15 (CIA-2026-01).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