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Termos de Uso de Sandbox Regulatória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Termos-modelo para participação em sandbox regulatória (Art. 57-63)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57-63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Termos de Uso de Sandbox Regulatória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Termos preparados para a candidatura prevista 2026-Q4 da TechMed à sandbox ANACOM.</w:t>
      </w:r>
    </w:p>
    <w:p>
      <w:pPr>
        <w:pStyle w:val="Heading2"/>
      </w:pPr>
      <w:r>
        <w:rPr>
          <w:rFonts w:ascii="Calibri" w:hAnsi="Calibri"/>
          <w:color w:val="0F172A"/>
        </w:rPr>
        <w:t>1. Objetivo do projeto a testar em sandbox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Sistema</w:t>
            </w:r>
          </w:p>
        </w:tc>
        <w:tc>
          <w:tcPr>
            <w:tcW w:type="dxa" w:w="6236"/>
          </w:tcPr>
          <w:p>
            <w:r>
              <w:t>TM-Med-7B (modelo GPAI fine-tuned para suporte clínico)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Fase de desenvolvimento</w:t>
            </w:r>
          </w:p>
        </w:tc>
        <w:tc>
          <w:tcPr>
            <w:tcW w:type="dxa" w:w="6236"/>
          </w:tcPr>
          <w:p>
            <w:r>
              <w:t>Pre-release, validação clínica em curso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Objetivo da participação</w:t>
            </w:r>
          </w:p>
        </w:tc>
        <w:tc>
          <w:tcPr>
            <w:tcW w:type="dxa" w:w="6236"/>
          </w:tcPr>
          <w:p>
            <w:r>
              <w:t>Validar conformidade com AI Act + obter feedback regulatório antes de colocação no mercado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Duração prevista</w:t>
            </w:r>
          </w:p>
        </w:tc>
        <w:tc>
          <w:tcPr>
            <w:tcW w:type="dxa" w:w="6236"/>
          </w:tcPr>
          <w:p>
            <w:r>
              <w:t>6 meses (2026-Q4 a 2027-Q2)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Hospital(is) parceiro(s)</w:t>
            </w:r>
          </w:p>
        </w:tc>
        <w:tc>
          <w:tcPr>
            <w:tcW w:type="dxa" w:w="6236"/>
          </w:tcPr>
          <w:p>
            <w:r>
              <w:t>Hospital de Aveiro (controlado, 1 turno)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Compromissos do participante</w:t>
      </w:r>
    </w:p>
    <w:p>
      <w:pPr>
        <w:pStyle w:val="ListBullet"/>
        <w:ind w:left="283"/>
      </w:pPr>
      <w:r>
        <w:rPr>
          <w:sz w:val="21"/>
        </w:rPr>
        <w:t>☑  Cumprimento dos critérios de elegibilidade (Art. 58)</w:t>
      </w:r>
    </w:p>
    <w:p>
      <w:pPr>
        <w:pStyle w:val="ListBullet"/>
        <w:ind w:left="283"/>
      </w:pPr>
      <w:r>
        <w:rPr>
          <w:sz w:val="21"/>
        </w:rPr>
        <w:t>☑  Cooperação com a autoridade competente (ANACOM) - relatórios mensais</w:t>
      </w:r>
    </w:p>
    <w:p>
      <w:pPr>
        <w:pStyle w:val="ListBullet"/>
        <w:ind w:left="283"/>
      </w:pPr>
      <w:r>
        <w:rPr>
          <w:sz w:val="21"/>
        </w:rPr>
        <w:t>☑  Disponibilização de toda a documentação técnica</w:t>
      </w:r>
    </w:p>
    <w:p>
      <w:pPr>
        <w:pStyle w:val="ListBullet"/>
        <w:ind w:left="283"/>
      </w:pPr>
      <w:r>
        <w:rPr>
          <w:sz w:val="21"/>
        </w:rPr>
        <w:t>☑  Salvaguardas para participantes humanos: consentimento informado, supervisão clínica reforçada</w:t>
      </w:r>
    </w:p>
    <w:p>
      <w:pPr>
        <w:pStyle w:val="ListBullet"/>
        <w:ind w:left="283"/>
      </w:pPr>
      <w:r>
        <w:rPr>
          <w:sz w:val="21"/>
        </w:rPr>
        <w:t>☑  Cessação imediata em caso de risco identificado pela autoridade</w:t>
      </w:r>
    </w:p>
    <w:p>
      <w:pPr>
        <w:pStyle w:val="ListBullet"/>
        <w:ind w:left="283"/>
      </w:pPr>
      <w:r>
        <w:rPr>
          <w:sz w:val="21"/>
        </w:rPr>
        <w:t>☑  Conservação de logs (10 anos) e disponibilização para análise</w:t>
      </w:r>
    </w:p>
    <w:p>
      <w:pPr>
        <w:pStyle w:val="ListBullet"/>
        <w:ind w:left="283"/>
      </w:pPr>
      <w:r>
        <w:rPr>
          <w:sz w:val="21"/>
        </w:rPr>
        <w:t>☑  Cooperação para publicação de relatório agregado pela autoridade (anonimizado)</w:t>
      </w:r>
    </w:p>
    <w:p>
      <w:pPr>
        <w:pStyle w:val="Heading2"/>
      </w:pPr>
      <w:r>
        <w:rPr>
          <w:rFonts w:ascii="Calibri" w:hAnsi="Calibri"/>
          <w:color w:val="0F172A"/>
        </w:rPr>
        <w:t>3. Salvaguardas para os doentes participantes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Consentimento informado</w:t>
            </w:r>
          </w:p>
        </w:tc>
        <w:tc>
          <w:tcPr>
            <w:tcW w:type="dxa" w:w="6236"/>
          </w:tcPr>
          <w:p>
            <w:r>
              <w:t>Obrigatório, escrito, em PT-PT acessível, com possibilidade de retirada a qualquer momento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Supervisão clínica</w:t>
            </w:r>
          </w:p>
        </w:tc>
        <w:tc>
          <w:tcPr>
            <w:tcW w:type="dxa" w:w="6236"/>
          </w:tcPr>
          <w:p>
            <w:r>
              <w:t>Médico sénior presente em todas as inferências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Mecanismo de queixa</w:t>
            </w:r>
          </w:p>
        </w:tc>
        <w:tc>
          <w:tcPr>
            <w:tcW w:type="dxa" w:w="6236"/>
          </w:tcPr>
          <w:p>
            <w:r>
              <w:t>Direto à autoridade + interno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Pseudonimização</w:t>
            </w:r>
          </w:p>
        </w:tc>
        <w:tc>
          <w:tcPr>
            <w:tcW w:type="dxa" w:w="6236"/>
          </w:tcPr>
          <w:p>
            <w:r>
              <w:t>Reforçada - nenhum identificador direto sai do hospital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Indemnização</w:t>
            </w:r>
          </w:p>
        </w:tc>
        <w:tc>
          <w:tcPr>
            <w:tcW w:type="dxa" w:w="6236"/>
          </w:tcPr>
          <w:p>
            <w:r>
              <w:t>Cobertura de seguro adicional contratada (Allianz, apólice 2026-AS-117)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Benefícios da sandbox</w:t>
      </w:r>
    </w:p>
    <w:p>
      <w:pPr>
        <w:pStyle w:val="ListBullet"/>
        <w:ind w:left="283"/>
      </w:pPr>
      <w:r>
        <w:rPr>
          <w:sz w:val="21"/>
        </w:rPr>
        <w:t>☑  Orientação direta da autoridade competente</w:t>
      </w:r>
    </w:p>
    <w:p>
      <w:pPr>
        <w:pStyle w:val="ListBullet"/>
        <w:ind w:left="283"/>
      </w:pPr>
      <w:r>
        <w:rPr>
          <w:sz w:val="21"/>
        </w:rPr>
        <w:t>☑  Conformidade prima facie em relação aos termos da sandbox</w:t>
      </w:r>
    </w:p>
    <w:p>
      <w:pPr>
        <w:pStyle w:val="ListBullet"/>
        <w:ind w:left="283"/>
      </w:pPr>
      <w:r>
        <w:rPr>
          <w:sz w:val="21"/>
        </w:rPr>
        <w:t>☑  Visibilidade pública do projeto (em relatórios da autoridade)</w:t>
      </w:r>
    </w:p>
    <w:p>
      <w:pPr>
        <w:pStyle w:val="ListBullet"/>
        <w:ind w:left="283"/>
      </w:pPr>
      <w:r>
        <w:rPr>
          <w:sz w:val="21"/>
        </w:rPr>
        <w:t>☑  Aprendizagem partilhada entre participantes</w:t>
      </w:r>
    </w:p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