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800"/>
      </w:pPr>
    </w:p>
    <w:p>
      <w:pPr>
        <w:spacing w:after="400"/>
        <w:jc w:val="center"/>
      </w:pPr>
      <w:r>
        <w:rPr>
          <w:rFonts w:ascii="Calibri" w:hAnsi="Calibri"/>
          <w:b/>
          <w:color w:val="0891B2"/>
          <w:sz w:val="20"/>
        </w:rPr>
        <w:t>AI ACT PORTUGAL  ·  TEMPLATE PROFISSIONAL</w:t>
      </w:r>
    </w:p>
    <w:p>
      <w:pPr>
        <w:spacing w:after="800"/>
        <w:jc w:val="center"/>
      </w:pPr>
      <w:r>
        <w:rPr>
          <w:rFonts w:ascii="Calibri" w:hAnsi="Calibri"/>
          <w:i/>
          <w:color w:val="5C6B7A"/>
          <w:sz w:val="22"/>
        </w:rPr>
        <w:t>[Nome da organização]</w:t>
      </w:r>
    </w:p>
    <w:p>
      <w:pPr>
        <w:spacing w:after="300"/>
        <w:jc w:val="center"/>
      </w:pPr>
      <w:r>
        <w:rPr>
          <w:rFonts w:ascii="Calibri" w:hAnsi="Calibri"/>
          <w:b/>
          <w:color w:val="0F172A"/>
          <w:sz w:val="56"/>
        </w:rPr>
        <w:t>Checklist de Offboarding de Fornecedor IA</w:t>
      </w:r>
    </w:p>
    <w:p>
      <w:pPr>
        <w:jc w:val="center"/>
      </w:pPr>
      <w:r>
        <w:rPr>
          <w:rFonts w:ascii="Calibri" w:hAnsi="Calibri"/>
          <w:color w:val="374151"/>
          <w:sz w:val="26"/>
        </w:rPr>
        <w:t>Procedimento de cessação contratual ordeira</w:t>
      </w:r>
    </w:p>
    <w:p>
      <w:pPr>
        <w:spacing w:after="1600" w:before="160"/>
        <w:jc w:val="center"/>
      </w:pPr>
      <w:r>
        <w:rPr>
          <w:rFonts w:ascii="Calibri" w:hAnsi="Calibri"/>
          <w:b/>
          <w:color w:val="EA580C"/>
          <w:sz w:val="22"/>
        </w:rPr>
        <w:t>Cadeia de fornecimento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Versão: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1.0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Data de 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Maio de 2026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Autor: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 Act Portugal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Publicação: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aiact-portugal.pt</w:t>
            </w:r>
          </w:p>
        </w:tc>
      </w:tr>
      <w:tr>
        <w:tc>
          <w:tcPr>
            <w:tcW w:type="dxa" w:w="2551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right"/>
            </w:pPr>
            <w:r>
              <w:rPr>
                <w:rFonts w:ascii="Calibri" w:hAnsi="Calibri"/>
                <w:b/>
                <w:color w:val="0F172A"/>
                <w:sz w:val="22"/>
              </w:rPr>
              <w:t>Base legal:</w:t>
            </w:r>
          </w:p>
        </w:tc>
        <w:tc>
          <w:tcPr>
            <w:tcW w:type="dxa" w:w="4535"/>
            <w:tcBorders>
              <w:top w:val="nil"/>
              <w:left w:val="nil"/>
              <w:bottom w:val="nil"/>
              <w:right w:val="nil"/>
            </w:tcBorders>
          </w:tcPr>
          <w:p>
            <w:r>
              <w:rPr>
                <w:rFonts w:ascii="Calibri" w:hAnsi="Calibri"/>
                <w:color w:val="374151"/>
                <w:sz w:val="22"/>
              </w:rPr>
              <w:t>Regulamento (UE) 2024/1689</w:t>
            </w:r>
          </w:p>
        </w:tc>
      </w:tr>
    </w:tbl>
    <w:p>
      <w:pPr>
        <w:spacing w:after="1400"/>
      </w:pP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Modelo gratuito disponibilizado por</w:t>
      </w:r>
    </w:p>
    <w:p>
      <w:pPr>
        <w:jc w:val="center"/>
      </w:pPr>
      <w:r>
        <w:rPr>
          <w:rFonts w:ascii="Calibri" w:hAnsi="Calibri"/>
          <w:b/>
          <w:color w:val="0891B2"/>
          <w:sz w:val="24"/>
        </w:rPr>
        <w:t>https://aiact-portugal.pt</w:t>
      </w:r>
    </w:p>
    <w:p>
      <w:pPr>
        <w:jc w:val="center"/>
      </w:pPr>
      <w:r>
        <w:rPr>
          <w:rFonts w:ascii="Calibri" w:hAnsi="Calibri"/>
          <w:i/>
          <w:color w:val="5C6B7A"/>
          <w:sz w:val="18"/>
        </w:rPr>
        <w:t>Conformidade com o Regulamento (UE) 2024/1689 (AI Act)</w:t>
      </w:r>
    </w:p>
    <w:p>
      <w:r>
        <w:br w:type="page"/>
      </w:r>
    </w:p>
    <w:p>
      <w:pPr>
        <w:pStyle w:val="Heading1"/>
      </w:pPr>
      <w:r>
        <w:rPr>
          <w:color w:val="0F172A"/>
        </w:rPr>
        <w:t>Sobre esta template</w:t>
      </w:r>
    </w:p>
    <w:p>
      <w:r>
        <w:rPr>
          <w:sz w:val="22"/>
        </w:rPr>
        <w:t>Esta template foi criada pela equipa AI Act Portugal para apoiar organizações em Portugal a implementar boas práticas de conformidade com o Regulamento (UE) 2024/1689 (AI Act). Está pré-preenchida com exemplos reais de uma organização ficcional consistente (TechMed Solutions, S.A.) para que possa ver como cada secção é esperada - basta substituir pelos dados da sua organização.</w:t>
      </w:r>
    </w:p>
    <w:p>
      <w:r>
        <w:rPr>
          <w:sz w:val="22"/>
        </w:rPr>
        <w:t>Para adaptar à sua organização: substitua os dados de exemplo pelos dados reais; ajuste as secções conforme a maturidade, dimensão e setor; remova ou expanda blocos opcionais; valide com o seu AI Officer, DPO e aconselhamento jurídico antes de utilização operacional ou submissão a autoridade competente.</w:t>
      </w:r>
    </w:p>
    <w:p>
      <w:pPr>
        <w:pStyle w:val="Heading1"/>
      </w:pPr>
      <w:r>
        <w:rPr>
          <w:color w:val="0F172A"/>
        </w:rPr>
        <w:t>Sobre AI Act Portugal</w:t>
      </w:r>
    </w:p>
    <w:p>
      <w:r>
        <w:rPr>
          <w:sz w:val="22"/>
        </w:rPr>
        <w:t>AI Act Portugal é uma plataforma informativa independente sobre o Regulamento (UE) 2024/1689 (AI Act) com foco em organizações portuguesas. Disponibiliza conteúdo jurídico-técnico atualizado, ferramentas interativas (classificador de risco, calculadora de custos, auditoria, dashboard, roadmap) e modelos profissionais alinhados com as obrigações regulatórias e com a coordenação da ANACOM.</w:t>
      </w:r>
    </w:p>
    <w:p>
      <w:r>
        <w:rPr>
          <w:b/>
          <w:sz w:val="21"/>
        </w:rPr>
        <w:t xml:space="preserve">Plataforma: </w:t>
      </w:r>
      <w:r>
        <w:rPr>
          <w:color w:val="0891B2"/>
          <w:sz w:val="21"/>
        </w:rPr>
        <w:t>https://aiact-portugal.pt</w:t>
      </w:r>
      <w:r>
        <w:rPr>
          <w:b/>
          <w:sz w:val="21"/>
        </w:rPr>
        <w:t xml:space="preserve">   ·   Contactos: </w:t>
      </w:r>
      <w:r>
        <w:rPr>
          <w:color w:val="0891B2"/>
          <w:sz w:val="21"/>
        </w:rPr>
        <w:t>aiact-portugal.pt/pages/contactos.html</w:t>
      </w:r>
    </w:p>
    <w:p>
      <w:r>
        <w:rPr>
          <w:i/>
          <w:color w:val="5C6B7A"/>
          <w:sz w:val="18"/>
        </w:rPr>
        <w:t>Aviso: este modelo não substitui aconselhamento jurídico profissional. Os exemplos pré-preenchidos referem-se a uma organização ficcional e devem ser adaptados à realidade específica da sua organização.</w:t>
      </w:r>
    </w:p>
    <w:p>
      <w:r>
        <w:br w:type="page"/>
      </w:r>
    </w:p>
    <w:p>
      <w:pPr>
        <w:pStyle w:val="Title"/>
      </w:pPr>
      <w:r>
        <w:rPr>
          <w:color w:val="0F172A"/>
          <w:sz w:val="44"/>
        </w:rPr>
        <w:t>Checklist de Offboarding de Fornecedor IA</w:t>
      </w:r>
    </w:p>
    <w:p>
      <w:r>
        <w:rPr>
          <w:i/>
          <w:color w:val="5C6B7A"/>
          <w:sz w:val="19"/>
        </w:rPr>
        <w:t>[Logo da organização]</w:t>
      </w:r>
    </w:p>
    <w:p>
      <w:r>
        <w:rPr>
          <w:b/>
          <w:color w:val="0F172A"/>
          <w:sz w:val="22"/>
        </w:rPr>
        <w:t>[Nome da organização]</w:t>
      </w:r>
    </w:p>
    <w:p>
      <w:r>
        <w:rPr>
          <w:i/>
          <w:color w:val="5C6B7A"/>
          <w:sz w:val="18"/>
        </w:rPr>
        <w:t>Preparado com apoio de AI Act Portugal - aiact-portugal.pt</w:t>
      </w:r>
    </w:p>
    <w:p>
      <w:pPr>
        <w:pBdr>
          <w:bottom w:val="single" w:sz="12" w:space="1" w:color="0891B2"/>
        </w:pBdr>
      </w:pPr>
    </w:p>
    <w:p>
      <w:r>
        <w:rPr>
          <w:b/>
          <w:i/>
          <w:color w:val="EA580C"/>
          <w:sz w:val="19"/>
        </w:rPr>
        <w:t>💡  EXEMPLO PRÉ-PREENCHIDO: Checklist a usar quando termina contrato com fornecedor IA.</w:t>
      </w:r>
    </w:p>
    <w:p>
      <w:pPr>
        <w:pStyle w:val="Heading1"/>
      </w:pPr>
      <w:r>
        <w:rPr>
          <w:color w:val="0F172A"/>
        </w:rPr>
        <w:t>▌ 1. Identificação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Fornecedor</w:t>
            </w:r>
          </w:p>
        </w:tc>
        <w:tc>
          <w:tcPr>
            <w:tcW w:type="dxa" w:w="6236"/>
          </w:tcPr>
          <w:p>
            <w:r>
              <w:t>[Nome]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Sistema/serviço</w:t>
            </w:r>
          </w:p>
        </w:tc>
        <w:tc>
          <w:tcPr>
            <w:tcW w:type="dxa" w:w="6236"/>
          </w:tcPr>
          <w:p>
            <w:r>
              <w:t>________________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Data de término</w:t>
            </w:r>
          </w:p>
        </w:tc>
        <w:tc>
          <w:tcPr>
            <w:tcW w:type="dxa" w:w="6236"/>
          </w:tcPr>
          <w:p>
            <w:r>
              <w:t>__/__/______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Razão</w:t>
            </w:r>
          </w:p>
        </w:tc>
        <w:tc>
          <w:tcPr>
            <w:tcW w:type="dxa" w:w="6236"/>
          </w:tcPr>
          <w:p>
            <w:r>
              <w:t>☐ Fim de contrato  ☐ Substituição  ☐ Não-conformidade  ☐ Outra: __________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Period transitório</w:t>
            </w:r>
          </w:p>
        </w:tc>
        <w:tc>
          <w:tcPr>
            <w:tcW w:type="dxa" w:w="6236"/>
          </w:tcPr>
          <w:p>
            <w:r>
              <w:t>90 dias (recomendado)</w:t>
            </w:r>
          </w:p>
        </w:tc>
      </w:tr>
      <w:tr>
        <w:tc>
          <w:tcPr>
            <w:tcW w:type="dxa" w:w="2835"/>
            <w:shd w:val="clear" w:color="auto" w:fill="F1F5F9"/>
          </w:tcPr>
          <w:p>
            <w:r>
              <w:rPr>
                <w:b/>
              </w:rPr>
              <w:t>Owner</w:t>
            </w:r>
          </w:p>
        </w:tc>
        <w:tc>
          <w:tcPr>
            <w:tcW w:type="dxa" w:w="6236"/>
          </w:tcPr>
          <w:p>
            <w:r>
              <w:t>Maria Silva (coordenação)</w:t>
            </w:r>
          </w:p>
        </w:tc>
      </w:tr>
    </w:tbl>
    <w:p>
      <w:pPr>
        <w:pStyle w:val="Heading1"/>
      </w:pPr>
      <w:r>
        <w:rPr>
          <w:color w:val="0F172A"/>
        </w:rPr>
        <w:t>▌ 2. Recuperação de dados e ativos</w:t>
      </w:r>
    </w:p>
    <w:p>
      <w:pPr>
        <w:pStyle w:val="ListBullet"/>
        <w:ind w:left="283"/>
      </w:pPr>
      <w:r>
        <w:rPr>
          <w:sz w:val="21"/>
        </w:rPr>
        <w:t>☐  Solicitar exportação de TODOS os logs (Art. 12) em formato estruturado (JSON/CSV) - prazo 30d</w:t>
      </w:r>
    </w:p>
    <w:p>
      <w:pPr>
        <w:pStyle w:val="ListBullet"/>
        <w:ind w:left="283"/>
      </w:pPr>
      <w:r>
        <w:rPr>
          <w:sz w:val="21"/>
        </w:rPr>
        <w:t>☐  Solicitar exportação de bases de dados (RGPD Art. 20 - portabilidade)</w:t>
      </w:r>
    </w:p>
    <w:p>
      <w:pPr>
        <w:pStyle w:val="ListBullet"/>
        <w:ind w:left="283"/>
      </w:pPr>
      <w:r>
        <w:rPr>
          <w:sz w:val="21"/>
        </w:rPr>
        <w:t>☐  Solicitar exportação de modelos treinados (pesos + arquitetura)</w:t>
      </w:r>
    </w:p>
    <w:p>
      <w:pPr>
        <w:pStyle w:val="ListBullet"/>
        <w:ind w:left="283"/>
      </w:pPr>
      <w:r>
        <w:rPr>
          <w:sz w:val="21"/>
        </w:rPr>
        <w:t>☐  Solicitar exportação de documentação técnica (Anexo IV) atualizada</w:t>
      </w:r>
    </w:p>
    <w:p>
      <w:pPr>
        <w:pStyle w:val="ListBullet"/>
        <w:ind w:left="283"/>
      </w:pPr>
      <w:r>
        <w:rPr>
          <w:sz w:val="21"/>
        </w:rPr>
        <w:t>☐  Solicitar relatório final de incidentes/anomalias do contrato</w:t>
      </w:r>
    </w:p>
    <w:p>
      <w:pPr>
        <w:pStyle w:val="ListBullet"/>
        <w:ind w:left="283"/>
      </w:pPr>
      <w:r>
        <w:rPr>
          <w:sz w:val="21"/>
        </w:rPr>
        <w:t>☐  Verificar integridade dos dados recebidos (hash SHA-256)</w:t>
      </w:r>
    </w:p>
    <w:p>
      <w:pPr>
        <w:pStyle w:val="Heading1"/>
      </w:pPr>
      <w:r>
        <w:rPr>
          <w:color w:val="0F172A"/>
        </w:rPr>
        <w:t>▌ 3. Eliminação certificada</w:t>
      </w:r>
    </w:p>
    <w:p>
      <w:pPr>
        <w:pStyle w:val="ListBullet"/>
        <w:ind w:left="283"/>
      </w:pPr>
      <w:r>
        <w:rPr>
          <w:sz w:val="21"/>
        </w:rPr>
        <w:t>☐  Pedir certificado de eliminação irreversível dos dados (NIST 800-88 - purge)</w:t>
      </w:r>
    </w:p>
    <w:p>
      <w:pPr>
        <w:pStyle w:val="ListBullet"/>
        <w:ind w:left="283"/>
      </w:pPr>
      <w:r>
        <w:rPr>
          <w:sz w:val="21"/>
        </w:rPr>
        <w:t>☐  Confirmar eliminação em todas as réplicas e backups (disco, fita, cloud)</w:t>
      </w:r>
    </w:p>
    <w:p>
      <w:pPr>
        <w:pStyle w:val="ListBullet"/>
        <w:ind w:left="283"/>
      </w:pPr>
      <w:r>
        <w:rPr>
          <w:sz w:val="21"/>
        </w:rPr>
        <w:t>☐  Pedir confirmação por escrito da DPO do fornecedor</w:t>
      </w:r>
    </w:p>
    <w:p>
      <w:pPr>
        <w:pStyle w:val="ListBullet"/>
        <w:ind w:left="283"/>
      </w:pPr>
      <w:r>
        <w:rPr>
          <w:sz w:val="21"/>
        </w:rPr>
        <w:t>☐  Verificar que o fornecedor NÃO usou dados para treinar modelos próprios (auditoria contratual)</w:t>
      </w:r>
    </w:p>
    <w:p>
      <w:pPr>
        <w:pStyle w:val="Heading1"/>
      </w:pPr>
      <w:r>
        <w:rPr>
          <w:color w:val="0F172A"/>
        </w:rPr>
        <w:t>▌ 4. Migração ou descontinuação</w:t>
      </w:r>
    </w:p>
    <w:p>
      <w:pPr>
        <w:pStyle w:val="ListBullet"/>
        <w:ind w:left="283"/>
      </w:pPr>
      <w:r>
        <w:rPr>
          <w:sz w:val="21"/>
        </w:rPr>
        <w:t>☐  Plano de migração para fornecedor alternativo aprovado</w:t>
      </w:r>
    </w:p>
    <w:p>
      <w:pPr>
        <w:pStyle w:val="ListBullet"/>
        <w:ind w:left="283"/>
      </w:pPr>
      <w:r>
        <w:rPr>
          <w:sz w:val="21"/>
        </w:rPr>
        <w:t>☐  Período transitório negociado (mínimo 90 dias)</w:t>
      </w:r>
    </w:p>
    <w:p>
      <w:pPr>
        <w:pStyle w:val="ListBullet"/>
        <w:ind w:left="283"/>
      </w:pPr>
      <w:r>
        <w:rPr>
          <w:sz w:val="21"/>
        </w:rPr>
        <w:t>☐  Continuidade de operação garantida (sem gap)</w:t>
      </w:r>
    </w:p>
    <w:p>
      <w:pPr>
        <w:pStyle w:val="ListBullet"/>
        <w:ind w:left="283"/>
      </w:pPr>
      <w:r>
        <w:rPr>
          <w:sz w:val="21"/>
        </w:rPr>
        <w:t>☐  Comunicação a utilizadores afetados (Art. 26(11) se alto risco)</w:t>
      </w:r>
    </w:p>
    <w:p>
      <w:pPr>
        <w:pStyle w:val="ListBullet"/>
        <w:ind w:left="283"/>
      </w:pPr>
      <w:r>
        <w:rPr>
          <w:sz w:val="21"/>
        </w:rPr>
        <w:t>☐  Comunicação a autoridade competente (Art. 49 - atualização BD UE)</w:t>
      </w:r>
    </w:p>
    <w:p>
      <w:pPr>
        <w:pStyle w:val="Heading1"/>
      </w:pPr>
      <w:r>
        <w:rPr>
          <w:color w:val="0F172A"/>
        </w:rPr>
        <w:t>▌ 5. Encerramento contratual</w:t>
      </w:r>
    </w:p>
    <w:p>
      <w:pPr>
        <w:pStyle w:val="ListBullet"/>
        <w:ind w:left="283"/>
      </w:pPr>
      <w:r>
        <w:rPr>
          <w:sz w:val="21"/>
        </w:rPr>
        <w:t>☐  Fechar todos os acessos do fornecedor à infraestrutura TechMed</w:t>
      </w:r>
    </w:p>
    <w:p>
      <w:pPr>
        <w:pStyle w:val="ListBullet"/>
        <w:ind w:left="283"/>
      </w:pPr>
      <w:r>
        <w:rPr>
          <w:sz w:val="21"/>
        </w:rPr>
        <w:t>☐  Revogar tokens de API e credenciais</w:t>
      </w:r>
    </w:p>
    <w:p>
      <w:pPr>
        <w:pStyle w:val="ListBullet"/>
        <w:ind w:left="283"/>
      </w:pPr>
      <w:r>
        <w:rPr>
          <w:sz w:val="21"/>
        </w:rPr>
        <w:t>☐  Fechar canais de comunicação (Slack, email partilhado)</w:t>
      </w:r>
    </w:p>
    <w:p>
      <w:pPr>
        <w:pStyle w:val="ListBullet"/>
        <w:ind w:left="283"/>
      </w:pPr>
      <w:r>
        <w:rPr>
          <w:sz w:val="21"/>
        </w:rPr>
        <w:t>☐  Atualizar matriz de fornecedores → estado "Terminado"</w:t>
      </w:r>
    </w:p>
    <w:p>
      <w:pPr>
        <w:pStyle w:val="ListBullet"/>
        <w:ind w:left="283"/>
      </w:pPr>
      <w:r>
        <w:rPr>
          <w:sz w:val="21"/>
        </w:rPr>
        <w:t>☐  Atualizar inventário de sistemas IA</w:t>
      </w:r>
    </w:p>
    <w:p>
      <w:pPr>
        <w:pStyle w:val="ListBullet"/>
        <w:ind w:left="283"/>
      </w:pPr>
      <w:r>
        <w:rPr>
          <w:sz w:val="21"/>
        </w:rPr>
        <w:t>☐  Acta de encerramento + lições aprendidas</w:t>
      </w:r>
    </w:p>
    <w:p>
      <w:pPr>
        <w:pStyle w:val="ListBullet"/>
        <w:ind w:left="283"/>
      </w:pPr>
      <w:r>
        <w:rPr>
          <w:sz w:val="21"/>
        </w:rPr>
        <w:t>☐  Cumprir obrigações pós-contrato (NDA, conservação documentos)</w:t>
      </w:r>
    </w:p>
    <w:p/>
    <w:p>
      <w:pPr>
        <w:jc w:val="center"/>
      </w:pPr>
      <w:r>
        <w:rPr>
          <w:i/>
          <w:color w:val="5C6B7A"/>
          <w:sz w:val="16"/>
        </w:rPr>
        <w:t>Este modelo foi gerado por AI Act Portugal (https://aiact-portugal.pt) como guia indicativo de conformidade com o Regulamento (UE) 2024/1689. Os exemplos pré-preenchidos referem-se a uma organização ficcional (TechMed Solutions, S.A.) - adapte os campos à realidade da sua organização. Não substitui aconselhamento jurídico.</w:t>
      </w:r>
    </w:p>
    <w:p>
      <w:r>
        <w:br w:type="page"/>
      </w:r>
    </w:p>
    <w:p>
      <w:pPr>
        <w:pStyle w:val="Heading2"/>
      </w:pPr>
      <w:r>
        <w:rPr>
          <w:rFonts w:ascii="Calibri" w:hAnsi="Calibri"/>
          <w:color w:val="0F172A"/>
        </w:rPr>
        <w:t>Histórico de revisões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Versão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Data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Autor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Resumo das alterações</w:t>
            </w:r>
          </w:p>
        </w:tc>
        <w:tc>
          <w:tcPr>
            <w:tcW w:type="dxa" w:w="1881"/>
            <w:shd w:val="clear" w:color="auto" w:fill="0F172A"/>
          </w:tcPr>
          <w:p>
            <w:r>
              <w:rPr>
                <w:b/>
                <w:color w:val="FFFFFF"/>
              </w:rPr>
              <w:t>Aprovado por</w:t>
            </w:r>
          </w:p>
        </w:tc>
      </w:tr>
      <w:tr>
        <w:tc>
          <w:tcPr>
            <w:tcW w:type="dxa" w:w="1881"/>
          </w:tcPr>
          <w:p>
            <w:r>
              <w:t>1.0</w:t>
            </w:r>
          </w:p>
        </w:tc>
        <w:tc>
          <w:tcPr>
            <w:tcW w:type="dxa" w:w="1881"/>
          </w:tcPr>
          <w:p>
            <w:r>
              <w:t>2026-04-15</w:t>
            </w:r>
          </w:p>
        </w:tc>
        <w:tc>
          <w:tcPr>
            <w:tcW w:type="dxa" w:w="1881"/>
          </w:tcPr>
          <w:p>
            <w:r>
              <w:t>AI Officer</w:t>
            </w:r>
          </w:p>
        </w:tc>
        <w:tc>
          <w:tcPr>
            <w:tcW w:type="dxa" w:w="1881"/>
          </w:tcPr>
          <w:p>
            <w:r>
              <w:t>Versão inicial</w:t>
            </w:r>
          </w:p>
        </w:tc>
        <w:tc>
          <w:tcPr>
            <w:tcW w:type="dxa" w:w="1881"/>
          </w:tcPr>
          <w:p>
            <w:r>
              <w:t>CEO + Comité IA</w:t>
            </w:r>
          </w:p>
        </w:tc>
      </w:tr>
      <w:tr>
        <w:tc>
          <w:tcPr>
            <w:tcW w:type="dxa" w:w="1881"/>
          </w:tcPr>
          <w:p>
            <w:r>
              <w:t>1.1</w:t>
            </w:r>
          </w:p>
        </w:tc>
        <w:tc>
          <w:tcPr>
            <w:tcW w:type="dxa" w:w="1881"/>
          </w:tcPr>
          <w:p>
            <w:r>
              <w:t>__/__/______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  <w:tc>
          <w:tcPr>
            <w:tcW w:type="dxa" w:w="1881"/>
          </w:tcPr>
          <w:p>
            <w:r>
              <w:t>________________</w:t>
            </w:r>
          </w:p>
        </w:tc>
      </w:tr>
      <w:tr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  <w:tc>
          <w:tcPr>
            <w:tcW w:type="dxa" w:w="1881"/>
          </w:tcPr>
          <w:p>
            <w:r/>
          </w:p>
        </w:tc>
      </w:tr>
    </w:tbl>
    <w:p>
      <w:r>
        <w:rPr>
          <w:i/>
          <w:color w:val="5C6B7A"/>
          <w:sz w:val="18"/>
        </w:rPr>
        <w:t>Cada alteração material a este documento deve gerar nova versão e ser aprovada pelas pessoas designadas. Conserve histórico durante 10 anos (Art. 11(2) para sistemas de alto risco).</w:t>
      </w:r>
    </w:p>
    <w:p/>
    <w:p>
      <w:pPr>
        <w:pStyle w:val="Heading2"/>
      </w:pPr>
      <w:r>
        <w:rPr>
          <w:rFonts w:ascii="Calibri" w:hAnsi="Calibri"/>
          <w:color w:val="0F172A"/>
        </w:rPr>
        <w:t>Aprovações</w:t>
      </w:r>
    </w:p>
    <w:p>
      <w:r>
        <w:rPr>
          <w:sz w:val="21"/>
        </w:rPr>
        <w:t>Este documento foi revisto e aprovado pelas pessoas indicadas abaixo. As assinaturas atestam concordância com o conteúdo e compromisso com a sua aplicação na organização.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Papel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Nome e cargo</w:t>
            </w:r>
          </w:p>
        </w:tc>
        <w:tc>
          <w:tcPr>
            <w:tcW w:type="dxa" w:w="3135"/>
            <w:shd w:val="clear" w:color="auto" w:fill="0F172A"/>
          </w:tcPr>
          <w:p>
            <w:r>
              <w:rPr>
                <w:b/>
                <w:color w:val="FFFFFF"/>
              </w:rPr>
              <w:t>Assinatura e data</w:t>
            </w:r>
          </w:p>
        </w:tc>
      </w:tr>
      <w:tr>
        <w:tc>
          <w:tcPr>
            <w:tcW w:type="dxa" w:w="3135"/>
          </w:tcPr>
          <w:p>
            <w:r>
              <w:t>Elaborado por</w:t>
            </w:r>
          </w:p>
        </w:tc>
        <w:tc>
          <w:tcPr>
            <w:tcW w:type="dxa" w:w="3135"/>
          </w:tcPr>
          <w:p>
            <w:r>
              <w:t>[Nome] · AI Officer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Revisto por</w:t>
            </w:r>
          </w:p>
        </w:tc>
        <w:tc>
          <w:tcPr>
            <w:tcW w:type="dxa" w:w="3135"/>
          </w:tcPr>
          <w:p>
            <w:r>
              <w:t>[Nome] · DPO + CISO + Compliance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  <w:tr>
        <w:tc>
          <w:tcPr>
            <w:tcW w:type="dxa" w:w="3135"/>
          </w:tcPr>
          <w:p>
            <w:r>
              <w:t>Aprovado por</w:t>
            </w:r>
          </w:p>
        </w:tc>
        <w:tc>
          <w:tcPr>
            <w:tcW w:type="dxa" w:w="3135"/>
          </w:tcPr>
          <w:p>
            <w:r>
              <w:t>[Nome] · CEO</w:t>
            </w:r>
          </w:p>
        </w:tc>
        <w:tc>
          <w:tcPr>
            <w:tcW w:type="dxa" w:w="3135"/>
          </w:tcPr>
          <w:p>
            <w:r>
              <w:t>_______________________________  /  __/__/______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417" w:bottom="1247" w:left="1417" w:header="680" w:footer="68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  <w:pBdr>
        <w:top w:val="single" w:sz="6" w:space="1" w:color="0891B2"/>
      </w:pBdr>
    </w:pPr>
    <w:r>
      <w:rPr>
        <w:rFonts w:ascii="Calibri" w:hAnsi="Calibri"/>
        <w:color w:val="5C6B7A"/>
        <w:sz w:val="17"/>
      </w:rPr>
      <w:t xml:space="preserve">Confidencial  |  Página </w:t>
    </w:r>
    <w:r>
      <w:rPr>
        <w:rFonts w:ascii="Calibri" w:hAnsi="Calibri"/>
        <w:color w:val="5C6B7A"/>
        <w:sz w:val="17"/>
      </w:rPr>
      <w:fldChar w:fldCharType="begin"/>
      <w:instrText>PAGE</w:instrText>
      <w:fldChar w:fldCharType="end"/>
    </w:r>
    <w:r>
      <w:rPr>
        <w:rFonts w:ascii="Calibri" w:hAnsi="Calibri"/>
        <w:color w:val="5C6B7A"/>
        <w:sz w:val="17"/>
      </w:rPr>
      <w:t xml:space="preserve"> de </w:t>
    </w:r>
    <w:r>
      <w:rPr>
        <w:rFonts w:ascii="Calibri" w:hAnsi="Calibri"/>
        <w:color w:val="5C6B7A"/>
        <w:sz w:val="17"/>
      </w:rPr>
      <w:fldChar w:fldCharType="begin"/>
      <w:instrText>NUMPAGES</w:instrText>
      <w:fldChar w:fldCharType="end"/>
    </w:r>
    <w:r>
      <w:rPr>
        <w:rFonts w:ascii="Calibri" w:hAnsi="Calibri"/>
        <w:color w:val="5C6B7A"/>
        <w:sz w:val="17"/>
      </w:rPr>
      <w:t xml:space="preserve">  ·  AI Act Portugal · Reg. (UE) 2024/1689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pBdr>
        <w:bottom w:val="single" w:sz="6" w:space="1" w:color="0F172A"/>
      </w:pBdr>
    </w:pPr>
    <w:r>
      <w:rPr>
        <w:rFonts w:ascii="Calibri" w:hAnsi="Calibri"/>
        <w:i/>
        <w:color w:val="5C6B7A"/>
        <w:sz w:val="17"/>
      </w:rPr>
      <w:t>AI Act Portugal  ·  Modelo Profissional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jc w:val="both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