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Checklist de Onboarding de Fornecedor IA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Procedimento de incorporação de novo fornecedor na cadeia de valor IA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Cadeia de fornecimento + Art. 16/26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Checklist de Onboarding de Fornecedor IA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Checklist usado para onboard do TalentAI Pro em 2025.</w:t>
      </w:r>
    </w:p>
    <w:p>
      <w:pPr>
        <w:pStyle w:val="Heading1"/>
      </w:pPr>
      <w:r>
        <w:rPr>
          <w:color w:val="0F172A"/>
        </w:rPr>
        <w:t>▌ 1. Identificação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Fornecedor</w:t>
            </w:r>
          </w:p>
        </w:tc>
        <w:tc>
          <w:tcPr>
            <w:tcW w:type="dxa" w:w="6236"/>
          </w:tcPr>
          <w:p>
            <w:r>
              <w:t>[Nome - preencher na fase de onboarding]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NIPC</w:t>
            </w:r>
          </w:p>
        </w:tc>
        <w:tc>
          <w:tcPr>
            <w:tcW w:type="dxa" w:w="6236"/>
          </w:tcPr>
          <w:p>
            <w:r>
              <w:t>________________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Tipo de fornecimento</w:t>
            </w:r>
          </w:p>
        </w:tc>
        <w:tc>
          <w:tcPr>
            <w:tcW w:type="dxa" w:w="6236"/>
          </w:tcPr>
          <w:p>
            <w:r>
              <w:t>☐ Componente alto risco  ☐ Modelo GPAI  ☐ Plataforma  ☐ Infraestrutura  ☐ Auditoria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Owner interno</w:t>
            </w:r>
          </w:p>
        </w:tc>
        <w:tc>
          <w:tcPr>
            <w:tcW w:type="dxa" w:w="6236"/>
          </w:tcPr>
          <w:p>
            <w:r>
              <w:t>________________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Data de início</w:t>
            </w:r>
          </w:p>
        </w:tc>
        <w:tc>
          <w:tcPr>
            <w:tcW w:type="dxa" w:w="6236"/>
          </w:tcPr>
          <w:p>
            <w:r>
              <w:t>__/__/______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Contrato n.º</w:t>
            </w:r>
          </w:p>
        </w:tc>
        <w:tc>
          <w:tcPr>
            <w:tcW w:type="dxa" w:w="6236"/>
          </w:tcPr>
          <w:p>
            <w:r>
              <w:t>________________</w:t>
            </w:r>
          </w:p>
        </w:tc>
      </w:tr>
    </w:tbl>
    <w:p>
      <w:pPr>
        <w:pStyle w:val="Heading1"/>
      </w:pPr>
      <w:r>
        <w:rPr>
          <w:color w:val="0F172A"/>
        </w:rPr>
        <w:t>▌ 2. Due diligence (PRÉ-CONTRATO)</w:t>
      </w:r>
    </w:p>
    <w:p>
      <w:pPr>
        <w:pStyle w:val="ListBullet"/>
        <w:ind w:left="283"/>
      </w:pPr>
      <w:r>
        <w:rPr>
          <w:sz w:val="21"/>
        </w:rPr>
        <w:t>☐  Verificar inscrição comercial e situação fiscal/segurança social</w:t>
      </w:r>
    </w:p>
    <w:p>
      <w:pPr>
        <w:pStyle w:val="ListBullet"/>
        <w:ind w:left="283"/>
      </w:pPr>
      <w:r>
        <w:rPr>
          <w:sz w:val="21"/>
        </w:rPr>
        <w:t>☐  Pedir Declaração de Conformidade AI Act (se aplicável)</w:t>
      </w:r>
    </w:p>
    <w:p>
      <w:pPr>
        <w:pStyle w:val="ListBullet"/>
        <w:ind w:left="283"/>
      </w:pPr>
      <w:r>
        <w:rPr>
          <w:sz w:val="21"/>
        </w:rPr>
        <w:t>☐  Pedir documentação Anexo IV ou similar (se alto risco/GPAI)</w:t>
      </w:r>
    </w:p>
    <w:p>
      <w:pPr>
        <w:pStyle w:val="ListBullet"/>
        <w:ind w:left="283"/>
      </w:pPr>
      <w:r>
        <w:rPr>
          <w:sz w:val="21"/>
        </w:rPr>
        <w:t>☐  Pedir certificações relevantes (ISO 27001, ISO 42001, SOC 2)</w:t>
      </w:r>
    </w:p>
    <w:p>
      <w:pPr>
        <w:pStyle w:val="ListBullet"/>
        <w:ind w:left="283"/>
      </w:pPr>
      <w:r>
        <w:rPr>
          <w:sz w:val="21"/>
        </w:rPr>
        <w:t>☐  Avaliação de risco do fornecedor (matriz própria)</w:t>
      </w:r>
    </w:p>
    <w:p>
      <w:pPr>
        <w:pStyle w:val="ListBullet"/>
        <w:ind w:left="283"/>
      </w:pPr>
      <w:r>
        <w:rPr>
          <w:sz w:val="21"/>
        </w:rPr>
        <w:t>☐  Verificar histórico de incidentes públicos</w:t>
      </w:r>
    </w:p>
    <w:p>
      <w:pPr>
        <w:pStyle w:val="ListBullet"/>
        <w:ind w:left="283"/>
      </w:pPr>
      <w:r>
        <w:rPr>
          <w:sz w:val="21"/>
        </w:rPr>
        <w:t>☐  Verificar referências (3 clientes mínimo)</w:t>
      </w:r>
    </w:p>
    <w:p>
      <w:pPr>
        <w:pStyle w:val="ListBullet"/>
        <w:ind w:left="283"/>
      </w:pPr>
      <w:r>
        <w:rPr>
          <w:sz w:val="21"/>
        </w:rPr>
        <w:t>☐  Avaliar localização dos dados (UE preferencial; transferências internacionais documentadas)</w:t>
      </w:r>
    </w:p>
    <w:p>
      <w:pPr>
        <w:pStyle w:val="ListBullet"/>
        <w:ind w:left="283"/>
      </w:pPr>
      <w:r>
        <w:rPr>
          <w:sz w:val="21"/>
        </w:rPr>
        <w:t>☐  Pedir DPA (Data Processing Agreement) se trata dados pessoais</w:t>
      </w:r>
    </w:p>
    <w:p>
      <w:pPr>
        <w:pStyle w:val="ListBullet"/>
        <w:ind w:left="283"/>
      </w:pPr>
      <w:r>
        <w:rPr>
          <w:sz w:val="21"/>
        </w:rPr>
        <w:t>☐  Pedir cobertura de seguro RC profissional/cyber</w:t>
      </w:r>
    </w:p>
    <w:p>
      <w:pPr>
        <w:pStyle w:val="Heading1"/>
      </w:pPr>
      <w:r>
        <w:rPr>
          <w:color w:val="0F172A"/>
        </w:rPr>
        <w:t>▌ 3. Cláusulas contratuais obrigatórias</w:t>
      </w:r>
    </w:p>
    <w:p>
      <w:pPr>
        <w:pStyle w:val="ListBullet"/>
        <w:ind w:left="283"/>
      </w:pPr>
      <w:r>
        <w:rPr>
          <w:sz w:val="21"/>
        </w:rPr>
        <w:t>☐  Conformidade AI Act garantida pelo fornecedor (Art. 16/26)</w:t>
      </w:r>
    </w:p>
    <w:p>
      <w:pPr>
        <w:pStyle w:val="ListBullet"/>
        <w:ind w:left="283"/>
      </w:pPr>
      <w:r>
        <w:rPr>
          <w:sz w:val="21"/>
        </w:rPr>
        <w:t>☐  Cooperação em incidentes Art. 73 - SLA &lt;4h em horário comercial</w:t>
      </w:r>
    </w:p>
    <w:p>
      <w:pPr>
        <w:pStyle w:val="ListBullet"/>
        <w:ind w:left="283"/>
      </w:pPr>
      <w:r>
        <w:rPr>
          <w:sz w:val="21"/>
        </w:rPr>
        <w:t>☐  Direito de auditoria (até 2x/ano)</w:t>
      </w:r>
    </w:p>
    <w:p>
      <w:pPr>
        <w:pStyle w:val="ListBullet"/>
        <w:ind w:left="283"/>
      </w:pPr>
      <w:r>
        <w:rPr>
          <w:sz w:val="21"/>
        </w:rPr>
        <w:t>☐  Notificação de alterações materiais com 30 dias de antecedência</w:t>
      </w:r>
    </w:p>
    <w:p>
      <w:pPr>
        <w:pStyle w:val="ListBullet"/>
        <w:ind w:left="283"/>
      </w:pPr>
      <w:r>
        <w:rPr>
          <w:sz w:val="21"/>
        </w:rPr>
        <w:t>☐  Cláusulas RGPD (subcontratante Art. 28)</w:t>
      </w:r>
    </w:p>
    <w:p>
      <w:pPr>
        <w:pStyle w:val="ListBullet"/>
        <w:ind w:left="283"/>
      </w:pPr>
      <w:r>
        <w:rPr>
          <w:sz w:val="21"/>
        </w:rPr>
        <w:t>☐  Cláusulas de proteção de PI e segredos</w:t>
      </w:r>
    </w:p>
    <w:p>
      <w:pPr>
        <w:pStyle w:val="ListBullet"/>
        <w:ind w:left="283"/>
      </w:pPr>
      <w:r>
        <w:rPr>
          <w:sz w:val="21"/>
        </w:rPr>
        <w:t>☐  Sanções por incumprimento + direito de rescisão</w:t>
      </w:r>
    </w:p>
    <w:p>
      <w:pPr>
        <w:pStyle w:val="ListBullet"/>
        <w:ind w:left="283"/>
      </w:pPr>
      <w:r>
        <w:rPr>
          <w:sz w:val="21"/>
        </w:rPr>
        <w:t>☐  Continuidade de negócio + RTO/RPO</w:t>
      </w:r>
    </w:p>
    <w:p>
      <w:pPr>
        <w:pStyle w:val="ListBullet"/>
        <w:ind w:left="283"/>
      </w:pPr>
      <w:r>
        <w:rPr>
          <w:sz w:val="21"/>
        </w:rPr>
        <w:t>☐  Foro e lei aplicável (PT/UE)</w:t>
      </w:r>
    </w:p>
    <w:p>
      <w:pPr>
        <w:pStyle w:val="ListBullet"/>
        <w:ind w:left="283"/>
      </w:pPr>
      <w:r>
        <w:rPr>
          <w:sz w:val="21"/>
        </w:rPr>
        <w:t>☐  Plano de cessação ordeira (logs, eliminação dados, migração)</w:t>
      </w:r>
    </w:p>
    <w:p>
      <w:pPr>
        <w:pStyle w:val="Heading1"/>
      </w:pPr>
      <w:r>
        <w:rPr>
          <w:color w:val="0F172A"/>
        </w:rPr>
        <w:t>▌ 4. Setup técnico</w:t>
      </w:r>
    </w:p>
    <w:p>
      <w:pPr>
        <w:pStyle w:val="ListBullet"/>
        <w:ind w:left="283"/>
      </w:pPr>
      <w:r>
        <w:rPr>
          <w:sz w:val="21"/>
        </w:rPr>
        <w:t>☐  Acessos provisionados (RBAC, MFA obrigatório)</w:t>
      </w:r>
    </w:p>
    <w:p>
      <w:pPr>
        <w:pStyle w:val="ListBullet"/>
        <w:ind w:left="283"/>
      </w:pPr>
      <w:r>
        <w:rPr>
          <w:sz w:val="21"/>
        </w:rPr>
        <w:t>☐  Integração com SIEM da TechMed para monitorização</w:t>
      </w:r>
    </w:p>
    <w:p>
      <w:pPr>
        <w:pStyle w:val="ListBullet"/>
        <w:ind w:left="283"/>
      </w:pPr>
      <w:r>
        <w:rPr>
          <w:sz w:val="21"/>
        </w:rPr>
        <w:t>☐  Canal direto de incidentes configurado (alerts@fornecedor)</w:t>
      </w:r>
    </w:p>
    <w:p>
      <w:pPr>
        <w:pStyle w:val="ListBullet"/>
        <w:ind w:left="283"/>
      </w:pPr>
      <w:r>
        <w:rPr>
          <w:sz w:val="21"/>
        </w:rPr>
        <w:t>☐  Lista de contactos técnicos atualizada</w:t>
      </w:r>
    </w:p>
    <w:p>
      <w:pPr>
        <w:pStyle w:val="ListBullet"/>
        <w:ind w:left="283"/>
      </w:pPr>
      <w:r>
        <w:rPr>
          <w:sz w:val="21"/>
        </w:rPr>
        <w:t>☐  Documentação técnica integrada no DMS interno</w:t>
      </w:r>
    </w:p>
    <w:p>
      <w:pPr>
        <w:pStyle w:val="Heading1"/>
      </w:pPr>
      <w:r>
        <w:rPr>
          <w:color w:val="0F172A"/>
        </w:rPr>
        <w:t>▌ 5. Aprovações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Avaliado por</w:t>
            </w:r>
          </w:p>
        </w:tc>
        <w:tc>
          <w:tcPr>
            <w:tcW w:type="dxa" w:w="6236"/>
          </w:tcPr>
          <w:p>
            <w:r>
              <w:t>Maria Silva (AI Officer) + Ana Costa (CISO) + Compliance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Aprovado por</w:t>
            </w:r>
          </w:p>
        </w:tc>
        <w:tc>
          <w:tcPr>
            <w:tcW w:type="dxa" w:w="6236"/>
          </w:tcPr>
          <w:p>
            <w:r>
              <w:t>Dr. Rui Pereira (CEO) - para componente alto risco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Score final</w:t>
            </w:r>
          </w:p>
        </w:tc>
        <w:tc>
          <w:tcPr>
            <w:tcW w:type="dxa" w:w="6236"/>
          </w:tcPr>
          <w:p>
            <w:r>
              <w:t>☐ ≥ 4.0/5 (aprovado)  ☐ 3.0-3.9 (aprovado com ressalvas)  ☐ &lt; 3.0 (não aprovado)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Data 1.ª revisão</w:t>
            </w:r>
          </w:p>
        </w:tc>
        <w:tc>
          <w:tcPr>
            <w:tcW w:type="dxa" w:w="6236"/>
          </w:tcPr>
          <w:p>
            <w:r>
              <w:t>6 meses após go-live</w:t>
            </w:r>
          </w:p>
        </w:tc>
      </w:tr>
    </w:tbl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