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800"/>
      </w:pPr>
    </w:p>
    <w:p>
      <w:pPr>
        <w:spacing w:after="400"/>
        <w:jc w:val="center"/>
      </w:pPr>
      <w:r>
        <w:rPr>
          <w:rFonts w:ascii="Calibri" w:hAnsi="Calibri"/>
          <w:b/>
          <w:color w:val="0891B2"/>
          <w:sz w:val="20"/>
        </w:rPr>
        <w:t>AI ACT PORTUGAL  ·  TEMPLATE PROFISSIONAL</w:t>
      </w:r>
    </w:p>
    <w:p>
      <w:pPr>
        <w:spacing w:after="800"/>
        <w:jc w:val="center"/>
      </w:pPr>
      <w:r>
        <w:rPr>
          <w:rFonts w:ascii="Calibri" w:hAnsi="Calibri"/>
          <w:i/>
          <w:color w:val="5C6B7A"/>
          <w:sz w:val="22"/>
        </w:rPr>
        <w:t>[Nome da organização]</w:t>
      </w:r>
    </w:p>
    <w:p>
      <w:pPr>
        <w:spacing w:after="300"/>
        <w:jc w:val="center"/>
      </w:pPr>
      <w:r>
        <w:rPr>
          <w:rFonts w:ascii="Calibri" w:hAnsi="Calibri"/>
          <w:b/>
          <w:color w:val="0F172A"/>
          <w:sz w:val="56"/>
        </w:rPr>
        <w:t>AI Model Card / System Card</w:t>
      </w:r>
    </w:p>
    <w:p>
      <w:pPr>
        <w:jc w:val="center"/>
      </w:pPr>
      <w:r>
        <w:rPr>
          <w:rFonts w:ascii="Calibri" w:hAnsi="Calibri"/>
          <w:color w:val="374151"/>
          <w:sz w:val="26"/>
        </w:rPr>
        <w:t>Documento descritivo standard (Mitchell et al. 2019) - transparência técnica</w:t>
      </w:r>
    </w:p>
    <w:p>
      <w:pPr>
        <w:spacing w:after="1600" w:before="160"/>
        <w:jc w:val="center"/>
      </w:pPr>
      <w:r>
        <w:rPr>
          <w:rFonts w:ascii="Calibri" w:hAnsi="Calibri"/>
          <w:b/>
          <w:color w:val="EA580C"/>
          <w:sz w:val="22"/>
        </w:rPr>
        <w:t>Art. 13 + boa prática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2551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right"/>
            </w:pPr>
            <w:r>
              <w:rPr>
                <w:rFonts w:ascii="Calibri" w:hAnsi="Calibri"/>
                <w:b/>
                <w:color w:val="0F172A"/>
                <w:sz w:val="22"/>
              </w:rPr>
              <w:t>Versão:</w:t>
            </w:r>
          </w:p>
        </w:tc>
        <w:tc>
          <w:tcPr>
            <w:tcW w:type="dxa" w:w="4535"/>
            <w:tcBorders>
              <w:top w:val="nil"/>
              <w:left w:val="nil"/>
              <w:bottom w:val="nil"/>
              <w:right w:val="nil"/>
            </w:tcBorders>
          </w:tcPr>
          <w:p>
            <w:r>
              <w:rPr>
                <w:rFonts w:ascii="Calibri" w:hAnsi="Calibri"/>
                <w:color w:val="374151"/>
                <w:sz w:val="22"/>
              </w:rPr>
              <w:t>1.0</w:t>
            </w:r>
          </w:p>
        </w:tc>
      </w:tr>
      <w:tr>
        <w:tc>
          <w:tcPr>
            <w:tcW w:type="dxa" w:w="2551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right"/>
            </w:pPr>
            <w:r>
              <w:rPr>
                <w:rFonts w:ascii="Calibri" w:hAnsi="Calibri"/>
                <w:b/>
                <w:color w:val="0F172A"/>
                <w:sz w:val="22"/>
              </w:rPr>
              <w:t>Data de publicação:</w:t>
            </w:r>
          </w:p>
        </w:tc>
        <w:tc>
          <w:tcPr>
            <w:tcW w:type="dxa" w:w="4535"/>
            <w:tcBorders>
              <w:top w:val="nil"/>
              <w:left w:val="nil"/>
              <w:bottom w:val="nil"/>
              <w:right w:val="nil"/>
            </w:tcBorders>
          </w:tcPr>
          <w:p>
            <w:r>
              <w:rPr>
                <w:rFonts w:ascii="Calibri" w:hAnsi="Calibri"/>
                <w:color w:val="374151"/>
                <w:sz w:val="22"/>
              </w:rPr>
              <w:t>Maio de 2026</w:t>
            </w:r>
          </w:p>
        </w:tc>
      </w:tr>
      <w:tr>
        <w:tc>
          <w:tcPr>
            <w:tcW w:type="dxa" w:w="2551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right"/>
            </w:pPr>
            <w:r>
              <w:rPr>
                <w:rFonts w:ascii="Calibri" w:hAnsi="Calibri"/>
                <w:b/>
                <w:color w:val="0F172A"/>
                <w:sz w:val="22"/>
              </w:rPr>
              <w:t>Autor:</w:t>
            </w:r>
          </w:p>
        </w:tc>
        <w:tc>
          <w:tcPr>
            <w:tcW w:type="dxa" w:w="4535"/>
            <w:tcBorders>
              <w:top w:val="nil"/>
              <w:left w:val="nil"/>
              <w:bottom w:val="nil"/>
              <w:right w:val="nil"/>
            </w:tcBorders>
          </w:tcPr>
          <w:p>
            <w:r>
              <w:rPr>
                <w:rFonts w:ascii="Calibri" w:hAnsi="Calibri"/>
                <w:color w:val="374151"/>
                <w:sz w:val="22"/>
              </w:rPr>
              <w:t>AI Act Portugal</w:t>
            </w:r>
          </w:p>
        </w:tc>
      </w:tr>
      <w:tr>
        <w:tc>
          <w:tcPr>
            <w:tcW w:type="dxa" w:w="2551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right"/>
            </w:pPr>
            <w:r>
              <w:rPr>
                <w:rFonts w:ascii="Calibri" w:hAnsi="Calibri"/>
                <w:b/>
                <w:color w:val="0F172A"/>
                <w:sz w:val="22"/>
              </w:rPr>
              <w:t>Publicação:</w:t>
            </w:r>
          </w:p>
        </w:tc>
        <w:tc>
          <w:tcPr>
            <w:tcW w:type="dxa" w:w="4535"/>
            <w:tcBorders>
              <w:top w:val="nil"/>
              <w:left w:val="nil"/>
              <w:bottom w:val="nil"/>
              <w:right w:val="nil"/>
            </w:tcBorders>
          </w:tcPr>
          <w:p>
            <w:r>
              <w:rPr>
                <w:rFonts w:ascii="Calibri" w:hAnsi="Calibri"/>
                <w:color w:val="374151"/>
                <w:sz w:val="22"/>
              </w:rPr>
              <w:t>aiact-portugal.pt</w:t>
            </w:r>
          </w:p>
        </w:tc>
      </w:tr>
      <w:tr>
        <w:tc>
          <w:tcPr>
            <w:tcW w:type="dxa" w:w="2551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right"/>
            </w:pPr>
            <w:r>
              <w:rPr>
                <w:rFonts w:ascii="Calibri" w:hAnsi="Calibri"/>
                <w:b/>
                <w:color w:val="0F172A"/>
                <w:sz w:val="22"/>
              </w:rPr>
              <w:t>Base legal:</w:t>
            </w:r>
          </w:p>
        </w:tc>
        <w:tc>
          <w:tcPr>
            <w:tcW w:type="dxa" w:w="4535"/>
            <w:tcBorders>
              <w:top w:val="nil"/>
              <w:left w:val="nil"/>
              <w:bottom w:val="nil"/>
              <w:right w:val="nil"/>
            </w:tcBorders>
          </w:tcPr>
          <w:p>
            <w:r>
              <w:rPr>
                <w:rFonts w:ascii="Calibri" w:hAnsi="Calibri"/>
                <w:color w:val="374151"/>
                <w:sz w:val="22"/>
              </w:rPr>
              <w:t>Regulamento (UE) 2024/1689</w:t>
            </w:r>
          </w:p>
        </w:tc>
      </w:tr>
    </w:tbl>
    <w:p>
      <w:pPr>
        <w:spacing w:after="1400"/>
      </w:pPr>
    </w:p>
    <w:p>
      <w:pPr>
        <w:jc w:val="center"/>
      </w:pPr>
      <w:r>
        <w:rPr>
          <w:rFonts w:ascii="Calibri" w:hAnsi="Calibri"/>
          <w:i/>
          <w:color w:val="5C6B7A"/>
          <w:sz w:val="18"/>
        </w:rPr>
        <w:t>Modelo gratuito disponibilizado por</w:t>
      </w:r>
    </w:p>
    <w:p>
      <w:pPr>
        <w:jc w:val="center"/>
      </w:pPr>
      <w:r>
        <w:rPr>
          <w:rFonts w:ascii="Calibri" w:hAnsi="Calibri"/>
          <w:b/>
          <w:color w:val="0891B2"/>
          <w:sz w:val="24"/>
        </w:rPr>
        <w:t>https://aiact-portugal.pt</w:t>
      </w:r>
    </w:p>
    <w:p>
      <w:pPr>
        <w:jc w:val="center"/>
      </w:pPr>
      <w:r>
        <w:rPr>
          <w:rFonts w:ascii="Calibri" w:hAnsi="Calibri"/>
          <w:i/>
          <w:color w:val="5C6B7A"/>
          <w:sz w:val="18"/>
        </w:rPr>
        <w:t>Conformidade com o Regulamento (UE) 2024/1689 (AI Act)</w:t>
      </w:r>
    </w:p>
    <w:p>
      <w:r>
        <w:br w:type="page"/>
      </w:r>
    </w:p>
    <w:p>
      <w:pPr>
        <w:pStyle w:val="Heading1"/>
      </w:pPr>
      <w:r>
        <w:rPr>
          <w:color w:val="0F172A"/>
        </w:rPr>
        <w:t>Sobre esta template</w:t>
      </w:r>
    </w:p>
    <w:p>
      <w:r>
        <w:rPr>
          <w:sz w:val="22"/>
        </w:rPr>
        <w:t>Esta template foi criada pela equipa AI Act Portugal para apoiar organizações em Portugal a implementar boas práticas de conformidade com o Regulamento (UE) 2024/1689 (AI Act). Está pré-preenchida com exemplos reais de uma organização ficcional consistente (TechMed Solutions, S.A.) para que possa ver como cada secção é esperada - basta substituir pelos dados da sua organização.</w:t>
      </w:r>
    </w:p>
    <w:p>
      <w:r>
        <w:rPr>
          <w:sz w:val="22"/>
        </w:rPr>
        <w:t>Para adaptar à sua organização: substitua os dados de exemplo pelos dados reais; ajuste as secções conforme a maturidade, dimensão e setor; remova ou expanda blocos opcionais; valide com o seu AI Officer, DPO e aconselhamento jurídico antes de utilização operacional ou submissão a autoridade competente.</w:t>
      </w:r>
    </w:p>
    <w:p>
      <w:pPr>
        <w:pStyle w:val="Heading1"/>
      </w:pPr>
      <w:r>
        <w:rPr>
          <w:color w:val="0F172A"/>
        </w:rPr>
        <w:t>Sobre AI Act Portugal</w:t>
      </w:r>
    </w:p>
    <w:p>
      <w:r>
        <w:rPr>
          <w:sz w:val="22"/>
        </w:rPr>
        <w:t>AI Act Portugal é uma plataforma informativa independente sobre o Regulamento (UE) 2024/1689 (AI Act) com foco em organizações portuguesas. Disponibiliza conteúdo jurídico-técnico atualizado, ferramentas interativas (classificador de risco, calculadora de custos, auditoria, dashboard, roadmap) e modelos profissionais alinhados com as obrigações regulatórias e com a coordenação da ANACOM.</w:t>
      </w:r>
    </w:p>
    <w:p>
      <w:r>
        <w:rPr>
          <w:b/>
          <w:sz w:val="21"/>
        </w:rPr>
        <w:t xml:space="preserve">Plataforma: </w:t>
      </w:r>
      <w:r>
        <w:rPr>
          <w:color w:val="0891B2"/>
          <w:sz w:val="21"/>
        </w:rPr>
        <w:t>https://aiact-portugal.pt</w:t>
      </w:r>
      <w:r>
        <w:rPr>
          <w:b/>
          <w:sz w:val="21"/>
        </w:rPr>
        <w:t xml:space="preserve">   ·   Contactos: </w:t>
      </w:r>
      <w:r>
        <w:rPr>
          <w:color w:val="0891B2"/>
          <w:sz w:val="21"/>
        </w:rPr>
        <w:t>aiact-portugal.pt/pages/contactos.html</w:t>
      </w:r>
    </w:p>
    <w:p>
      <w:r>
        <w:rPr>
          <w:i/>
          <w:color w:val="5C6B7A"/>
          <w:sz w:val="18"/>
        </w:rPr>
        <w:t>Aviso: este modelo não substitui aconselhamento jurídico profissional. Os exemplos pré-preenchidos referem-se a uma organização ficcional e devem ser adaptados à realidade específica da sua organização.</w:t>
      </w:r>
    </w:p>
    <w:p>
      <w:r>
        <w:br w:type="page"/>
      </w:r>
    </w:p>
    <w:p>
      <w:pPr>
        <w:pStyle w:val="Title"/>
      </w:pPr>
      <w:r>
        <w:rPr>
          <w:color w:val="0F172A"/>
          <w:sz w:val="44"/>
        </w:rPr>
        <w:t>AI Model Card / System Card</w:t>
      </w:r>
    </w:p>
    <w:p>
      <w:r>
        <w:rPr>
          <w:i/>
          <w:color w:val="5C6B7A"/>
          <w:sz w:val="19"/>
        </w:rPr>
        <w:t>[Logo da organização]</w:t>
      </w:r>
    </w:p>
    <w:p>
      <w:r>
        <w:rPr>
          <w:b/>
          <w:color w:val="0F172A"/>
          <w:sz w:val="22"/>
        </w:rPr>
        <w:t>[Nome da organização]</w:t>
      </w:r>
    </w:p>
    <w:p>
      <w:r>
        <w:rPr>
          <w:i/>
          <w:color w:val="5C6B7A"/>
          <w:sz w:val="18"/>
        </w:rPr>
        <w:t>Preparado com apoio de AI Act Portugal - aiact-portugal.pt</w:t>
      </w:r>
    </w:p>
    <w:p>
      <w:pPr>
        <w:pBdr>
          <w:bottom w:val="single" w:sz="12" w:space="1" w:color="0891B2"/>
        </w:pBdr>
      </w:pPr>
    </w:p>
    <w:p>
      <w:r>
        <w:rPr>
          <w:b/>
          <w:i/>
          <w:color w:val="EA580C"/>
          <w:sz w:val="19"/>
        </w:rPr>
        <w:t>💡  EXEMPLO PRÉ-PREENCHIDO: Pré-preenchido com Model Card real do MedTriage AI v3.2.1.</w:t>
      </w:r>
    </w:p>
    <w:p>
      <w:pPr>
        <w:pStyle w:val="Heading1"/>
      </w:pPr>
      <w:r>
        <w:rPr>
          <w:color w:val="0F172A"/>
        </w:rPr>
        <w:t>▌ 1. Identificação do modelo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2835"/>
            <w:shd w:val="clear" w:color="auto" w:fill="F1F5F9"/>
          </w:tcPr>
          <w:p>
            <w:r>
              <w:rPr>
                <w:b/>
              </w:rPr>
              <w:t>Designação</w:t>
            </w:r>
          </w:p>
        </w:tc>
        <w:tc>
          <w:tcPr>
            <w:tcW w:type="dxa" w:w="6236"/>
          </w:tcPr>
          <w:p>
            <w:r>
              <w:t>MedTriage AI</w:t>
            </w:r>
          </w:p>
        </w:tc>
      </w:tr>
      <w:tr>
        <w:tc>
          <w:tcPr>
            <w:tcW w:type="dxa" w:w="2835"/>
            <w:shd w:val="clear" w:color="auto" w:fill="F1F5F9"/>
          </w:tcPr>
          <w:p>
            <w:r>
              <w:rPr>
                <w:b/>
              </w:rPr>
              <w:t>Versão</w:t>
            </w:r>
          </w:p>
        </w:tc>
        <w:tc>
          <w:tcPr>
            <w:tcW w:type="dxa" w:w="6236"/>
          </w:tcPr>
          <w:p>
            <w:r>
              <w:t>v3.2.1</w:t>
            </w:r>
          </w:p>
        </w:tc>
      </w:tr>
      <w:tr>
        <w:tc>
          <w:tcPr>
            <w:tcW w:type="dxa" w:w="2835"/>
            <w:shd w:val="clear" w:color="auto" w:fill="F1F5F9"/>
          </w:tcPr>
          <w:p>
            <w:r>
              <w:rPr>
                <w:b/>
              </w:rPr>
              <w:t>Tipo de modelo</w:t>
            </w:r>
          </w:p>
        </w:tc>
        <w:tc>
          <w:tcPr>
            <w:tcW w:type="dxa" w:w="6236"/>
          </w:tcPr>
          <w:p>
            <w:r>
              <w:t>Random Forest ensemble (n=200) + XGBoost meta-learner</w:t>
            </w:r>
          </w:p>
        </w:tc>
      </w:tr>
      <w:tr>
        <w:tc>
          <w:tcPr>
            <w:tcW w:type="dxa" w:w="2835"/>
            <w:shd w:val="clear" w:color="auto" w:fill="F1F5F9"/>
          </w:tcPr>
          <w:p>
            <w:r>
              <w:rPr>
                <w:b/>
              </w:rPr>
              <w:t>Data de release</w:t>
            </w:r>
          </w:p>
        </w:tc>
        <w:tc>
          <w:tcPr>
            <w:tcW w:type="dxa" w:w="6236"/>
          </w:tcPr>
          <w:p>
            <w:r>
              <w:t>2026-03-22</w:t>
            </w:r>
          </w:p>
        </w:tc>
      </w:tr>
      <w:tr>
        <w:tc>
          <w:tcPr>
            <w:tcW w:type="dxa" w:w="2835"/>
            <w:shd w:val="clear" w:color="auto" w:fill="F1F5F9"/>
          </w:tcPr>
          <w:p>
            <w:r>
              <w:rPr>
                <w:b/>
              </w:rPr>
              <w:t>Versão anterior</w:t>
            </w:r>
          </w:p>
        </w:tc>
        <w:tc>
          <w:tcPr>
            <w:tcW w:type="dxa" w:w="6236"/>
          </w:tcPr>
          <w:p>
            <w:r>
              <w:t>v3.1.4 (substituída em 2026-03-22)</w:t>
            </w:r>
          </w:p>
        </w:tc>
      </w:tr>
      <w:tr>
        <w:tc>
          <w:tcPr>
            <w:tcW w:type="dxa" w:w="2835"/>
            <w:shd w:val="clear" w:color="auto" w:fill="F1F5F9"/>
          </w:tcPr>
          <w:p>
            <w:r>
              <w:rPr>
                <w:b/>
              </w:rPr>
              <w:t>Modelo desenvolvido por</w:t>
            </w:r>
          </w:p>
        </w:tc>
        <w:tc>
          <w:tcPr>
            <w:tcW w:type="dxa" w:w="6236"/>
          </w:tcPr>
          <w:p>
            <w:r>
              <w:t>TechMed Solutions, S.A. (TechMed Labs)</w:t>
            </w:r>
          </w:p>
        </w:tc>
      </w:tr>
      <w:tr>
        <w:tc>
          <w:tcPr>
            <w:tcW w:type="dxa" w:w="2835"/>
            <w:shd w:val="clear" w:color="auto" w:fill="F1F5F9"/>
          </w:tcPr>
          <w:p>
            <w:r>
              <w:rPr>
                <w:b/>
              </w:rPr>
              <w:t>Pessoa de contacto</w:t>
            </w:r>
          </w:p>
        </w:tc>
        <w:tc>
          <w:tcPr>
            <w:tcW w:type="dxa" w:w="6236"/>
          </w:tcPr>
          <w:p>
            <w:r>
              <w:t>Dr.ª Sofia Mendes (Owner) + Maria Silva (AI Officer)</w:t>
            </w:r>
          </w:p>
        </w:tc>
      </w:tr>
    </w:tbl>
    <w:p>
      <w:pPr>
        <w:pStyle w:val="Heading1"/>
      </w:pPr>
      <w:r>
        <w:rPr>
          <w:color w:val="0F172A"/>
        </w:rPr>
        <w:t>▌ 2. Detalhes do modelo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2835"/>
            <w:shd w:val="clear" w:color="auto" w:fill="F1F5F9"/>
          </w:tcPr>
          <w:p>
            <w:r>
              <w:rPr>
                <w:b/>
              </w:rPr>
              <w:t>Arquitetura</w:t>
            </w:r>
          </w:p>
        </w:tc>
        <w:tc>
          <w:tcPr>
            <w:tcW w:type="dxa" w:w="6236"/>
          </w:tcPr>
          <w:p>
            <w:r>
              <w:t>Ensemble: 200 árvores Random Forest + meta-learner XGBoost para casos limítrofes</w:t>
            </w:r>
          </w:p>
        </w:tc>
      </w:tr>
      <w:tr>
        <w:tc>
          <w:tcPr>
            <w:tcW w:type="dxa" w:w="2835"/>
            <w:shd w:val="clear" w:color="auto" w:fill="F1F5F9"/>
          </w:tcPr>
          <w:p>
            <w:r>
              <w:rPr>
                <w:b/>
              </w:rPr>
              <w:t>Inputs</w:t>
            </w:r>
          </w:p>
        </w:tc>
        <w:tc>
          <w:tcPr>
            <w:tcW w:type="dxa" w:w="6236"/>
          </w:tcPr>
          <w:p>
            <w:r>
              <w:t>47 features clínicas estruturadas + texto livre de sintomas (BERT clinical PT)</w:t>
            </w:r>
          </w:p>
        </w:tc>
      </w:tr>
      <w:tr>
        <w:tc>
          <w:tcPr>
            <w:tcW w:type="dxa" w:w="2835"/>
            <w:shd w:val="clear" w:color="auto" w:fill="F1F5F9"/>
          </w:tcPr>
          <w:p>
            <w:r>
              <w:rPr>
                <w:b/>
              </w:rPr>
              <w:t>Outputs</w:t>
            </w:r>
          </w:p>
        </w:tc>
        <w:tc>
          <w:tcPr>
            <w:tcW w:type="dxa" w:w="6236"/>
          </w:tcPr>
          <w:p>
            <w:r>
              <w:t>Classe MTS (1=vermelho/crítico ... 5=azul/não-urgente) + confiança [0,1] + top-3 razões SHAP</w:t>
            </w:r>
          </w:p>
        </w:tc>
      </w:tr>
      <w:tr>
        <w:tc>
          <w:tcPr>
            <w:tcW w:type="dxa" w:w="2835"/>
            <w:shd w:val="clear" w:color="auto" w:fill="F1F5F9"/>
          </w:tcPr>
          <w:p>
            <w:r>
              <w:rPr>
                <w:b/>
              </w:rPr>
              <w:t>Otimização</w:t>
            </w:r>
          </w:p>
        </w:tc>
        <w:tc>
          <w:tcPr>
            <w:tcW w:type="dxa" w:w="6236"/>
          </w:tcPr>
          <w:p>
            <w:r>
              <w:t>Maximizar AUC-PR vermelho/laranja; minimizar erros assimétricos (sub-prioritização)</w:t>
            </w:r>
          </w:p>
        </w:tc>
      </w:tr>
      <w:tr>
        <w:tc>
          <w:tcPr>
            <w:tcW w:type="dxa" w:w="2835"/>
            <w:shd w:val="clear" w:color="auto" w:fill="F1F5F9"/>
          </w:tcPr>
          <w:p>
            <w:r>
              <w:rPr>
                <w:b/>
              </w:rPr>
              <w:t>Software</w:t>
            </w:r>
          </w:p>
        </w:tc>
        <w:tc>
          <w:tcPr>
            <w:tcW w:type="dxa" w:w="6236"/>
          </w:tcPr>
          <w:p>
            <w:r>
              <w:t>Python 3.11, scikit-learn 1.4, XGBoost 2.0, transformers 4.42</w:t>
            </w:r>
          </w:p>
        </w:tc>
      </w:tr>
      <w:tr>
        <w:tc>
          <w:tcPr>
            <w:tcW w:type="dxa" w:w="2835"/>
            <w:shd w:val="clear" w:color="auto" w:fill="F1F5F9"/>
          </w:tcPr>
          <w:p>
            <w:r>
              <w:rPr>
                <w:b/>
              </w:rPr>
              <w:t>Hardware treino</w:t>
            </w:r>
          </w:p>
        </w:tc>
        <w:tc>
          <w:tcPr>
            <w:tcW w:type="dxa" w:w="6236"/>
          </w:tcPr>
          <w:p>
            <w:r>
              <w:t>4× NVIDIA A100; 200 GPU-hours por release</w:t>
            </w:r>
          </w:p>
        </w:tc>
      </w:tr>
    </w:tbl>
    <w:p>
      <w:pPr>
        <w:pStyle w:val="Heading1"/>
      </w:pPr>
      <w:r>
        <w:rPr>
          <w:color w:val="0F172A"/>
        </w:rPr>
        <w:t>▌ 3. Uso pretendido</w:t>
      </w:r>
    </w:p>
    <w:p>
      <w:r>
        <w:rPr>
          <w:sz w:val="22"/>
        </w:rPr>
        <w:t>Apoio à triagem clínica em serviço de urgência hospitalar, segundo Manchester Triage System. Sistema sempre supervisionado por enfermeiro de triagem credenciado.</w:t>
      </w:r>
    </w:p>
    <w:p>
      <w:r>
        <w:rPr>
          <w:b/>
          <w:sz w:val="22"/>
        </w:rPr>
        <w:t>Casos de uso permitidos:</w:t>
      </w:r>
    </w:p>
    <w:p>
      <w:pPr>
        <w:pStyle w:val="ListBullet"/>
        <w:ind w:left="283"/>
      </w:pPr>
      <w:r>
        <w:rPr>
          <w:sz w:val="21"/>
        </w:rPr>
        <w:t>☑  Triagem em sala de urgência com supervisão clínica</w:t>
      </w:r>
    </w:p>
    <w:p>
      <w:pPr>
        <w:pStyle w:val="ListBullet"/>
        <w:ind w:left="283"/>
      </w:pPr>
      <w:r>
        <w:rPr>
          <w:sz w:val="21"/>
        </w:rPr>
        <w:t>☑  Apoio a decisão de alocação de recursos hospitalares</w:t>
      </w:r>
    </w:p>
    <w:p>
      <w:pPr>
        <w:pStyle w:val="ListBullet"/>
        <w:ind w:left="283"/>
      </w:pPr>
      <w:r>
        <w:rPr>
          <w:sz w:val="21"/>
        </w:rPr>
        <w:t>☑  Análise retrospetiva agregada de fluxos de urgência</w:t>
      </w:r>
    </w:p>
    <w:p>
      <w:r>
        <w:rPr>
          <w:b/>
          <w:sz w:val="22"/>
        </w:rPr>
        <w:t>Casos de uso NÃO permitidos (restrições):</w:t>
      </w:r>
    </w:p>
    <w:p>
      <w:pPr>
        <w:pStyle w:val="ListBullet"/>
        <w:ind w:left="283"/>
      </w:pPr>
      <w:r>
        <w:rPr>
          <w:sz w:val="21"/>
        </w:rPr>
        <w:t>☐  Uso para diagnóstico autónomo sem revisão médica</w:t>
      </w:r>
    </w:p>
    <w:p>
      <w:pPr>
        <w:pStyle w:val="ListBullet"/>
        <w:ind w:left="283"/>
      </w:pPr>
      <w:r>
        <w:rPr>
          <w:sz w:val="21"/>
        </w:rPr>
        <w:t>☐  Uso fora do contexto urgência (consulta, internamento, etc.)</w:t>
      </w:r>
    </w:p>
    <w:p>
      <w:pPr>
        <w:pStyle w:val="ListBullet"/>
        <w:ind w:left="283"/>
      </w:pPr>
      <w:r>
        <w:rPr>
          <w:sz w:val="21"/>
        </w:rPr>
        <w:t>☐  Uso em pediatria &lt;2 anos (excluído da população de treino)</w:t>
      </w:r>
    </w:p>
    <w:p>
      <w:pPr>
        <w:pStyle w:val="ListBullet"/>
        <w:ind w:left="283"/>
      </w:pPr>
      <w:r>
        <w:rPr>
          <w:sz w:val="21"/>
        </w:rPr>
        <w:t>☐  Uso em emergência maior (&gt;20 doentes simultâneos) - protocolos especiais</w:t>
      </w:r>
    </w:p>
    <w:p>
      <w:pPr>
        <w:pStyle w:val="Heading1"/>
      </w:pPr>
      <w:r>
        <w:rPr>
          <w:color w:val="0F172A"/>
        </w:rPr>
        <w:t>▌ 4. Dados de treino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2835"/>
            <w:shd w:val="clear" w:color="auto" w:fill="F1F5F9"/>
          </w:tcPr>
          <w:p>
            <w:r>
              <w:rPr>
                <w:b/>
              </w:rPr>
              <w:t>Dataset</w:t>
            </w:r>
          </w:p>
        </w:tc>
        <w:tc>
          <w:tcPr>
            <w:tcW w:type="dxa" w:w="6236"/>
          </w:tcPr>
          <w:p>
            <w:r>
              <w:t>MedTriage-Train-2024-Q3</w:t>
            </w:r>
          </w:p>
        </w:tc>
      </w:tr>
      <w:tr>
        <w:tc>
          <w:tcPr>
            <w:tcW w:type="dxa" w:w="2835"/>
            <w:shd w:val="clear" w:color="auto" w:fill="F1F5F9"/>
          </w:tcPr>
          <w:p>
            <w:r>
              <w:rPr>
                <w:b/>
              </w:rPr>
              <w:t>Volume</w:t>
            </w:r>
          </w:p>
        </w:tc>
        <w:tc>
          <w:tcPr>
            <w:tcW w:type="dxa" w:w="6236"/>
          </w:tcPr>
          <w:p>
            <w:r>
              <w:t>2.4M registos clínicos anonimizados</w:t>
            </w:r>
          </w:p>
        </w:tc>
      </w:tr>
      <w:tr>
        <w:tc>
          <w:tcPr>
            <w:tcW w:type="dxa" w:w="2835"/>
            <w:shd w:val="clear" w:color="auto" w:fill="F1F5F9"/>
          </w:tcPr>
          <w:p>
            <w:r>
              <w:rPr>
                <w:b/>
              </w:rPr>
              <w:t>Período</w:t>
            </w:r>
          </w:p>
        </w:tc>
        <w:tc>
          <w:tcPr>
            <w:tcW w:type="dxa" w:w="6236"/>
          </w:tcPr>
          <w:p>
            <w:r>
              <w:t>2018-2023</w:t>
            </w:r>
          </w:p>
        </w:tc>
      </w:tr>
      <w:tr>
        <w:tc>
          <w:tcPr>
            <w:tcW w:type="dxa" w:w="2835"/>
            <w:shd w:val="clear" w:color="auto" w:fill="F1F5F9"/>
          </w:tcPr>
          <w:p>
            <w:r>
              <w:rPr>
                <w:b/>
              </w:rPr>
              <w:t>Fontes</w:t>
            </w:r>
          </w:p>
        </w:tc>
        <w:tc>
          <w:tcPr>
            <w:tcW w:type="dxa" w:w="6236"/>
          </w:tcPr>
          <w:p>
            <w:r>
              <w:t>H. São João + H. Santa Maria (DPA 2024-005)</w:t>
            </w:r>
          </w:p>
        </w:tc>
      </w:tr>
      <w:tr>
        <w:tc>
          <w:tcPr>
            <w:tcW w:type="dxa" w:w="2835"/>
            <w:shd w:val="clear" w:color="auto" w:fill="F1F5F9"/>
          </w:tcPr>
          <w:p>
            <w:r>
              <w:rPr>
                <w:b/>
              </w:rPr>
              <w:t>Anonimização</w:t>
            </w:r>
          </w:p>
        </w:tc>
        <w:tc>
          <w:tcPr>
            <w:tcW w:type="dxa" w:w="6236"/>
          </w:tcPr>
          <w:p>
            <w:r>
              <w:t>CNPD parecer 2024/167 - irreversível, k-anon=10</w:t>
            </w:r>
          </w:p>
        </w:tc>
      </w:tr>
      <w:tr>
        <w:tc>
          <w:tcPr>
            <w:tcW w:type="dxa" w:w="2835"/>
            <w:shd w:val="clear" w:color="auto" w:fill="F1F5F9"/>
          </w:tcPr>
          <w:p>
            <w:r>
              <w:rPr>
                <w:b/>
              </w:rPr>
              <w:t>Distribuição classes</w:t>
            </w:r>
          </w:p>
        </w:tc>
        <w:tc>
          <w:tcPr>
            <w:tcW w:type="dxa" w:w="6236"/>
          </w:tcPr>
          <w:p>
            <w:r>
              <w:t>V=4%, L=8%, A=22%, V=46%, A=20%</w:t>
            </w:r>
          </w:p>
        </w:tc>
      </w:tr>
    </w:tbl>
    <w:p>
      <w:pPr>
        <w:pStyle w:val="Heading1"/>
      </w:pPr>
      <w:r>
        <w:rPr>
          <w:color w:val="0F172A"/>
        </w:rPr>
        <w:t>▌ 5. Métricas de avaliação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0F172A"/>
          </w:tcPr>
          <w:p>
            <w:r>
              <w:rPr>
                <w:b/>
                <w:color w:val="FFFFFF"/>
              </w:rPr>
              <w:t>Métrica</w:t>
            </w:r>
          </w:p>
        </w:tc>
        <w:tc>
          <w:tcPr>
            <w:tcW w:type="dxa" w:w="2351"/>
            <w:shd w:val="clear" w:color="auto" w:fill="0F172A"/>
          </w:tcPr>
          <w:p>
            <w:r>
              <w:rPr>
                <w:b/>
                <w:color w:val="FFFFFF"/>
              </w:rPr>
              <w:t>Limiar</w:t>
            </w:r>
          </w:p>
        </w:tc>
        <w:tc>
          <w:tcPr>
            <w:tcW w:type="dxa" w:w="2351"/>
            <w:shd w:val="clear" w:color="auto" w:fill="0F172A"/>
          </w:tcPr>
          <w:p>
            <w:r>
              <w:rPr>
                <w:b/>
                <w:color w:val="FFFFFF"/>
              </w:rPr>
              <w:t>Valor</w:t>
            </w:r>
          </w:p>
        </w:tc>
        <w:tc>
          <w:tcPr>
            <w:tcW w:type="dxa" w:w="2351"/>
            <w:shd w:val="clear" w:color="auto" w:fill="0F172A"/>
          </w:tcPr>
          <w:p>
            <w:r>
              <w:rPr>
                <w:b/>
                <w:color w:val="FFFFFF"/>
              </w:rPr>
              <w:t>Estado</w:t>
            </w:r>
          </w:p>
        </w:tc>
      </w:tr>
      <w:tr>
        <w:tc>
          <w:tcPr>
            <w:tcW w:type="dxa" w:w="2351"/>
          </w:tcPr>
          <w:p>
            <w:r>
              <w:t>AUC-PR (macro)</w:t>
            </w:r>
          </w:p>
        </w:tc>
        <w:tc>
          <w:tcPr>
            <w:tcW w:type="dxa" w:w="2351"/>
          </w:tcPr>
          <w:p>
            <w:r>
              <w:t>≥ 0.92</w:t>
            </w:r>
          </w:p>
        </w:tc>
        <w:tc>
          <w:tcPr>
            <w:tcW w:type="dxa" w:w="2351"/>
          </w:tcPr>
          <w:p>
            <w:r>
              <w:t>0.94</w:t>
            </w:r>
          </w:p>
        </w:tc>
        <w:tc>
          <w:tcPr>
            <w:tcW w:type="dxa" w:w="2351"/>
          </w:tcPr>
          <w:p>
            <w:r>
              <w:t>OK</w:t>
            </w:r>
          </w:p>
        </w:tc>
      </w:tr>
      <w:tr>
        <w:tc>
          <w:tcPr>
            <w:tcW w:type="dxa" w:w="2351"/>
          </w:tcPr>
          <w:p>
            <w:r>
              <w:t>Sensibilidade classe vermelha</w:t>
            </w:r>
          </w:p>
        </w:tc>
        <w:tc>
          <w:tcPr>
            <w:tcW w:type="dxa" w:w="2351"/>
          </w:tcPr>
          <w:p>
            <w:r>
              <w:t>≥ 0.98</w:t>
            </w:r>
          </w:p>
        </w:tc>
        <w:tc>
          <w:tcPr>
            <w:tcW w:type="dxa" w:w="2351"/>
          </w:tcPr>
          <w:p>
            <w:r>
              <w:t>0.987</w:t>
            </w:r>
          </w:p>
        </w:tc>
        <w:tc>
          <w:tcPr>
            <w:tcW w:type="dxa" w:w="2351"/>
          </w:tcPr>
          <w:p>
            <w:r>
              <w:t>OK</w:t>
            </w:r>
          </w:p>
        </w:tc>
      </w:tr>
      <w:tr>
        <w:tc>
          <w:tcPr>
            <w:tcW w:type="dxa" w:w="2351"/>
          </w:tcPr>
          <w:p>
            <w:r>
              <w:t>Especificidade classe verde</w:t>
            </w:r>
          </w:p>
        </w:tc>
        <w:tc>
          <w:tcPr>
            <w:tcW w:type="dxa" w:w="2351"/>
          </w:tcPr>
          <w:p>
            <w:r>
              <w:t>≥ 0.85</w:t>
            </w:r>
          </w:p>
        </w:tc>
        <w:tc>
          <w:tcPr>
            <w:tcW w:type="dxa" w:w="2351"/>
          </w:tcPr>
          <w:p>
            <w:r>
              <w:t>0.88</w:t>
            </w:r>
          </w:p>
        </w:tc>
        <w:tc>
          <w:tcPr>
            <w:tcW w:type="dxa" w:w="2351"/>
          </w:tcPr>
          <w:p>
            <w:r>
              <w:t>OK</w:t>
            </w:r>
          </w:p>
        </w:tc>
      </w:tr>
      <w:tr>
        <w:tc>
          <w:tcPr>
            <w:tcW w:type="dxa" w:w="2351"/>
          </w:tcPr>
          <w:p>
            <w:r>
              <w:t>Calibração (Brier score)</w:t>
            </w:r>
          </w:p>
        </w:tc>
        <w:tc>
          <w:tcPr>
            <w:tcW w:type="dxa" w:w="2351"/>
          </w:tcPr>
          <w:p>
            <w:r>
              <w:t>≤ 0.10</w:t>
            </w:r>
          </w:p>
        </w:tc>
        <w:tc>
          <w:tcPr>
            <w:tcW w:type="dxa" w:w="2351"/>
          </w:tcPr>
          <w:p>
            <w:r>
              <w:t>0.08</w:t>
            </w:r>
          </w:p>
        </w:tc>
        <w:tc>
          <w:tcPr>
            <w:tcW w:type="dxa" w:w="2351"/>
          </w:tcPr>
          <w:p>
            <w:r>
              <w:t>OK</w:t>
            </w:r>
          </w:p>
        </w:tc>
      </w:tr>
      <w:tr>
        <w:tc>
          <w:tcPr>
            <w:tcW w:type="dxa" w:w="2351"/>
          </w:tcPr>
          <w:p>
            <w:r>
              <w:t>Latência inferência p99</w:t>
            </w:r>
          </w:p>
        </w:tc>
        <w:tc>
          <w:tcPr>
            <w:tcW w:type="dxa" w:w="2351"/>
          </w:tcPr>
          <w:p>
            <w:r>
              <w:t>≤ 300 ms</w:t>
            </w:r>
          </w:p>
        </w:tc>
        <w:tc>
          <w:tcPr>
            <w:tcW w:type="dxa" w:w="2351"/>
          </w:tcPr>
          <w:p>
            <w:r>
              <w:t>245 ms</w:t>
            </w:r>
          </w:p>
        </w:tc>
        <w:tc>
          <w:tcPr>
            <w:tcW w:type="dxa" w:w="2351"/>
          </w:tcPr>
          <w:p>
            <w:r>
              <w:t>OK</w:t>
            </w:r>
          </w:p>
        </w:tc>
      </w:tr>
      <w:tr>
        <w:tc>
          <w:tcPr>
            <w:tcW w:type="dxa" w:w="2351"/>
          </w:tcPr>
          <w:p>
            <w:r>
              <w:t>Robustez (drop em adversarial)</w:t>
            </w:r>
          </w:p>
        </w:tc>
        <w:tc>
          <w:tcPr>
            <w:tcW w:type="dxa" w:w="2351"/>
          </w:tcPr>
          <w:p>
            <w:r>
              <w:t>≤ 5%</w:t>
            </w:r>
          </w:p>
        </w:tc>
        <w:tc>
          <w:tcPr>
            <w:tcW w:type="dxa" w:w="2351"/>
          </w:tcPr>
          <w:p>
            <w:r>
              <w:t>3.2%</w:t>
            </w:r>
          </w:p>
        </w:tc>
        <w:tc>
          <w:tcPr>
            <w:tcW w:type="dxa" w:w="2351"/>
          </w:tcPr>
          <w:p>
            <w:r>
              <w:t>OK</w:t>
            </w:r>
          </w:p>
        </w:tc>
      </w:tr>
    </w:tbl>
    <w:p>
      <w:pPr>
        <w:pStyle w:val="Heading1"/>
      </w:pPr>
      <w:r>
        <w:rPr>
          <w:color w:val="0F172A"/>
        </w:rPr>
        <w:t>▌ 6. Análise de viés (fairness)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0F172A"/>
          </w:tcPr>
          <w:p>
            <w:r>
              <w:rPr>
                <w:b/>
                <w:color w:val="FFFFFF"/>
              </w:rPr>
              <w:t>Subgrupo</w:t>
            </w:r>
          </w:p>
        </w:tc>
        <w:tc>
          <w:tcPr>
            <w:tcW w:type="dxa" w:w="1881"/>
            <w:shd w:val="clear" w:color="auto" w:fill="0F172A"/>
          </w:tcPr>
          <w:p>
            <w:r>
              <w:rPr>
                <w:b/>
                <w:color w:val="FFFFFF"/>
              </w:rPr>
              <w:t>Limiar</w:t>
            </w:r>
          </w:p>
        </w:tc>
        <w:tc>
          <w:tcPr>
            <w:tcW w:type="dxa" w:w="1881"/>
            <w:shd w:val="clear" w:color="auto" w:fill="0F172A"/>
          </w:tcPr>
          <w:p>
            <w:r>
              <w:rPr>
                <w:b/>
                <w:color w:val="FFFFFF"/>
              </w:rPr>
              <w:t>Valor</w:t>
            </w:r>
          </w:p>
        </w:tc>
        <w:tc>
          <w:tcPr>
            <w:tcW w:type="dxa" w:w="1881"/>
            <w:shd w:val="clear" w:color="auto" w:fill="0F172A"/>
          </w:tcPr>
          <w:p>
            <w:r>
              <w:rPr>
                <w:b/>
                <w:color w:val="FFFFFF"/>
              </w:rPr>
              <w:t>Estado</w:t>
            </w:r>
          </w:p>
        </w:tc>
        <w:tc>
          <w:tcPr>
            <w:tcW w:type="dxa" w:w="1881"/>
            <w:shd w:val="clear" w:color="auto" w:fill="0F172A"/>
          </w:tcPr>
          <w:p>
            <w:r>
              <w:rPr>
                <w:b/>
                <w:color w:val="FFFFFF"/>
              </w:rPr>
              <w:t>Notas</w:t>
            </w:r>
          </w:p>
        </w:tc>
      </w:tr>
      <w:tr>
        <w:tc>
          <w:tcPr>
            <w:tcW w:type="dxa" w:w="1881"/>
          </w:tcPr>
          <w:p>
            <w:r>
              <w:t>Idade (5 escalões)</w:t>
            </w:r>
          </w:p>
        </w:tc>
        <w:tc>
          <w:tcPr>
            <w:tcW w:type="dxa" w:w="1881"/>
          </w:tcPr>
          <w:p>
            <w:r>
              <w:t>DI ∈ [0.80, 1.25]</w:t>
            </w:r>
          </w:p>
        </w:tc>
        <w:tc>
          <w:tcPr>
            <w:tcW w:type="dxa" w:w="1881"/>
          </w:tcPr>
          <w:p>
            <w:r>
              <w:t>0.92</w:t>
            </w:r>
          </w:p>
        </w:tc>
        <w:tc>
          <w:tcPr>
            <w:tcW w:type="dxa" w:w="1881"/>
          </w:tcPr>
          <w:p>
            <w:r>
              <w:t>OK</w:t>
            </w:r>
          </w:p>
        </w:tc>
        <w:tc>
          <w:tcPr>
            <w:tcW w:type="dxa" w:w="1881"/>
          </w:tcPr>
          <w:p>
            <w:r>
              <w:t>Pediátricos sobreamostrados pós INC-2026-001</w:t>
            </w:r>
          </w:p>
        </w:tc>
      </w:tr>
      <w:tr>
        <w:tc>
          <w:tcPr>
            <w:tcW w:type="dxa" w:w="1881"/>
          </w:tcPr>
          <w:p>
            <w:r>
              <w:t>Género (M/F/Outro)</w:t>
            </w:r>
          </w:p>
        </w:tc>
        <w:tc>
          <w:tcPr>
            <w:tcW w:type="dxa" w:w="1881"/>
          </w:tcPr>
          <w:p>
            <w:r>
              <w:t>EOD ≤ 0.05</w:t>
            </w:r>
          </w:p>
        </w:tc>
        <w:tc>
          <w:tcPr>
            <w:tcW w:type="dxa" w:w="1881"/>
          </w:tcPr>
          <w:p>
            <w:r>
              <w:t>0.02</w:t>
            </w:r>
          </w:p>
        </w:tc>
        <w:tc>
          <w:tcPr>
            <w:tcW w:type="dxa" w:w="1881"/>
          </w:tcPr>
          <w:p>
            <w:r>
              <w:t>OK</w:t>
            </w:r>
          </w:p>
        </w:tc>
        <w:tc>
          <w:tcPr>
            <w:tcW w:type="dxa" w:w="1881"/>
          </w:tcPr>
          <w:p>
            <w:r>
              <w:t>-</w:t>
            </w:r>
          </w:p>
        </w:tc>
      </w:tr>
      <w:tr>
        <w:tc>
          <w:tcPr>
            <w:tcW w:type="dxa" w:w="1881"/>
          </w:tcPr>
          <w:p>
            <w:r>
              <w:t>Etnia (proxy nome)</w:t>
            </w:r>
          </w:p>
        </w:tc>
        <w:tc>
          <w:tcPr>
            <w:tcW w:type="dxa" w:w="1881"/>
          </w:tcPr>
          <w:p>
            <w:r>
              <w:t>EOD ≤ 0.05</w:t>
            </w:r>
          </w:p>
        </w:tc>
        <w:tc>
          <w:tcPr>
            <w:tcW w:type="dxa" w:w="1881"/>
          </w:tcPr>
          <w:p>
            <w:r>
              <w:t>0.04</w:t>
            </w:r>
          </w:p>
        </w:tc>
        <w:tc>
          <w:tcPr>
            <w:tcW w:type="dxa" w:w="1881"/>
          </w:tcPr>
          <w:p>
            <w:r>
              <w:t>OK</w:t>
            </w:r>
          </w:p>
        </w:tc>
        <w:tc>
          <w:tcPr>
            <w:tcW w:type="dxa" w:w="1881"/>
          </w:tcPr>
          <w:p>
            <w:r>
              <w:t>Cont. monitorizada</w:t>
            </w:r>
          </w:p>
        </w:tc>
      </w:tr>
      <w:tr>
        <w:tc>
          <w:tcPr>
            <w:tcW w:type="dxa" w:w="1881"/>
          </w:tcPr>
          <w:p>
            <w:r>
              <w:t>Região (NUTS II)</w:t>
            </w:r>
          </w:p>
        </w:tc>
        <w:tc>
          <w:tcPr>
            <w:tcW w:type="dxa" w:w="1881"/>
          </w:tcPr>
          <w:p>
            <w:r>
              <w:t>EOD ≤ 0.05</w:t>
            </w:r>
          </w:p>
        </w:tc>
        <w:tc>
          <w:tcPr>
            <w:tcW w:type="dxa" w:w="1881"/>
          </w:tcPr>
          <w:p>
            <w:r>
              <w:t>0.03</w:t>
            </w:r>
          </w:p>
        </w:tc>
        <w:tc>
          <w:tcPr>
            <w:tcW w:type="dxa" w:w="1881"/>
          </w:tcPr>
          <w:p>
            <w:r>
              <w:t>OK</w:t>
            </w:r>
          </w:p>
        </w:tc>
        <w:tc>
          <w:tcPr>
            <w:tcW w:type="dxa" w:w="1881"/>
          </w:tcPr>
          <w:p>
            <w:r>
              <w:t>-</w:t>
            </w:r>
          </w:p>
        </w:tc>
      </w:tr>
    </w:tbl>
    <w:p>
      <w:pPr>
        <w:pStyle w:val="Heading1"/>
      </w:pPr>
      <w:r>
        <w:rPr>
          <w:color w:val="0F172A"/>
        </w:rPr>
        <w:t>▌ 7. Limitações conhecidas</w:t>
      </w:r>
    </w:p>
    <w:p>
      <w:pPr>
        <w:pStyle w:val="ListBullet"/>
        <w:ind w:left="283"/>
      </w:pPr>
      <w:r>
        <w:rPr>
          <w:sz w:val="21"/>
        </w:rPr>
        <w:t>☑  Sub-amostragem de doentes &lt;2 anos (não-validado)</w:t>
      </w:r>
    </w:p>
    <w:p>
      <w:pPr>
        <w:pStyle w:val="ListBullet"/>
        <w:ind w:left="283"/>
      </w:pPr>
      <w:r>
        <w:rPr>
          <w:sz w:val="21"/>
        </w:rPr>
        <w:t>☑  Variabilidade em condições raras (&lt;1% prevalência) - confiança baixa</w:t>
      </w:r>
    </w:p>
    <w:p>
      <w:pPr>
        <w:pStyle w:val="ListBullet"/>
        <w:ind w:left="283"/>
      </w:pPr>
      <w:r>
        <w:rPr>
          <w:sz w:val="21"/>
        </w:rPr>
        <w:t>☑  Texto livre de sintomas em PT-PT apenas - não suporta outras línguas</w:t>
      </w:r>
    </w:p>
    <w:p>
      <w:pPr>
        <w:pStyle w:val="ListBullet"/>
        <w:ind w:left="283"/>
      </w:pPr>
      <w:r>
        <w:rPr>
          <w:sz w:val="21"/>
        </w:rPr>
        <w:t>☑  Não considera comorbilidades multidimensionais complexas</w:t>
      </w:r>
    </w:p>
    <w:p>
      <w:pPr>
        <w:pStyle w:val="ListBullet"/>
        <w:ind w:left="283"/>
      </w:pPr>
      <w:r>
        <w:rPr>
          <w:sz w:val="21"/>
        </w:rPr>
        <w:t>☑  Performance degrada em mudanças sazonais grandes (gripe, pandemia)</w:t>
      </w:r>
    </w:p>
    <w:p>
      <w:pPr>
        <w:pStyle w:val="Heading1"/>
      </w:pPr>
      <w:r>
        <w:rPr>
          <w:color w:val="0F172A"/>
        </w:rPr>
        <w:t>▌ 8. Considerações éticas</w:t>
      </w:r>
    </w:p>
    <w:p>
      <w:r>
        <w:rPr>
          <w:sz w:val="22"/>
        </w:rPr>
        <w:t>O sistema afeta diretamente decisões clínicas que podem ter impacto na saúde e vida dos doentes. Por isso: (i) supervisão humana obrigatória; (ii) FRIA realizada e revisão anual; (iii) auditoria de viés mensal; (iv) explicação SHAP em cada decisão; (v) canal de queixa direto; (vi) cooperação com ANACOM e Ministério da Saúde.</w:t>
      </w:r>
    </w:p>
    <w:p>
      <w:pPr>
        <w:pStyle w:val="Heading1"/>
      </w:pPr>
      <w:r>
        <w:rPr>
          <w:color w:val="0F172A"/>
        </w:rPr>
        <w:t>▌ 9. Histórico de versões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0F172A"/>
          </w:tcPr>
          <w:p>
            <w:r>
              <w:rPr>
                <w:b/>
                <w:color w:val="FFFFFF"/>
              </w:rPr>
              <w:t>Versão</w:t>
            </w:r>
          </w:p>
        </w:tc>
        <w:tc>
          <w:tcPr>
            <w:tcW w:type="dxa" w:w="2351"/>
            <w:shd w:val="clear" w:color="auto" w:fill="0F172A"/>
          </w:tcPr>
          <w:p>
            <w:r>
              <w:rPr>
                <w:b/>
                <w:color w:val="FFFFFF"/>
              </w:rPr>
              <w:t>Data</w:t>
            </w:r>
          </w:p>
        </w:tc>
        <w:tc>
          <w:tcPr>
            <w:tcW w:type="dxa" w:w="2351"/>
            <w:shd w:val="clear" w:color="auto" w:fill="0F172A"/>
          </w:tcPr>
          <w:p>
            <w:r>
              <w:rPr>
                <w:b/>
                <w:color w:val="FFFFFF"/>
              </w:rPr>
              <w:t>Alterações principais</w:t>
            </w:r>
          </w:p>
        </w:tc>
        <w:tc>
          <w:tcPr>
            <w:tcW w:type="dxa" w:w="2351"/>
            <w:shd w:val="clear" w:color="auto" w:fill="0F172A"/>
          </w:tcPr>
          <w:p>
            <w:r>
              <w:rPr>
                <w:b/>
                <w:color w:val="FFFFFF"/>
              </w:rPr>
              <w:t>Estado</w:t>
            </w:r>
          </w:p>
        </w:tc>
      </w:tr>
      <w:tr>
        <w:tc>
          <w:tcPr>
            <w:tcW w:type="dxa" w:w="2351"/>
          </w:tcPr>
          <w:p>
            <w:r>
              <w:t>v3.2.1</w:t>
            </w:r>
          </w:p>
        </w:tc>
        <w:tc>
          <w:tcPr>
            <w:tcW w:type="dxa" w:w="2351"/>
          </w:tcPr>
          <w:p>
            <w:r>
              <w:t>2026-03-22</w:t>
            </w:r>
          </w:p>
        </w:tc>
        <w:tc>
          <w:tcPr>
            <w:tcW w:type="dxa" w:w="2351"/>
          </w:tcPr>
          <w:p>
            <w:r>
              <w:t>Sobreamostragem pediátrica + canary obrigatório</w:t>
            </w:r>
          </w:p>
        </w:tc>
        <w:tc>
          <w:tcPr>
            <w:tcW w:type="dxa" w:w="2351"/>
          </w:tcPr>
          <w:p>
            <w:r>
              <w:t>Em produção</w:t>
            </w:r>
          </w:p>
        </w:tc>
      </w:tr>
      <w:tr>
        <w:tc>
          <w:tcPr>
            <w:tcW w:type="dxa" w:w="2351"/>
          </w:tcPr>
          <w:p>
            <w:r>
              <w:t>v3.2.0</w:t>
            </w:r>
          </w:p>
        </w:tc>
        <w:tc>
          <w:tcPr>
            <w:tcW w:type="dxa" w:w="2351"/>
          </w:tcPr>
          <w:p>
            <w:r>
              <w:t>2026-03-08</w:t>
            </w:r>
          </w:p>
        </w:tc>
        <w:tc>
          <w:tcPr>
            <w:tcW w:type="dxa" w:w="2351"/>
          </w:tcPr>
          <w:p>
            <w:r>
              <w:t>Retreino mensal - drift pediátrico introduzido</w:t>
            </w:r>
          </w:p>
        </w:tc>
        <w:tc>
          <w:tcPr>
            <w:tcW w:type="dxa" w:w="2351"/>
          </w:tcPr>
          <w:p>
            <w:r>
              <w:t>REVERTIDO</w:t>
            </w:r>
          </w:p>
        </w:tc>
      </w:tr>
      <w:tr>
        <w:tc>
          <w:tcPr>
            <w:tcW w:type="dxa" w:w="2351"/>
          </w:tcPr>
          <w:p>
            <w:r>
              <w:t>v3.1.4</w:t>
            </w:r>
          </w:p>
        </w:tc>
        <w:tc>
          <w:tcPr>
            <w:tcW w:type="dxa" w:w="2351"/>
          </w:tcPr>
          <w:p>
            <w:r>
              <w:t>2026-02-08</w:t>
            </w:r>
          </w:p>
        </w:tc>
        <w:tc>
          <w:tcPr>
            <w:tcW w:type="dxa" w:w="2351"/>
          </w:tcPr>
          <w:p>
            <w:r>
              <w:t>Patch fix calibração escalão idoso</w:t>
            </w:r>
          </w:p>
        </w:tc>
        <w:tc>
          <w:tcPr>
            <w:tcW w:type="dxa" w:w="2351"/>
          </w:tcPr>
          <w:p>
            <w:r>
              <w:t>Substituído por v3.2.1</w:t>
            </w:r>
          </w:p>
        </w:tc>
      </w:tr>
      <w:tr>
        <w:tc>
          <w:tcPr>
            <w:tcW w:type="dxa" w:w="2351"/>
          </w:tcPr>
          <w:p>
            <w:r>
              <w:t>v3.0</w:t>
            </w:r>
          </w:p>
        </w:tc>
        <w:tc>
          <w:tcPr>
            <w:tcW w:type="dxa" w:w="2351"/>
          </w:tcPr>
          <w:p>
            <w:r>
              <w:t>2025-09-15</w:t>
            </w:r>
          </w:p>
        </w:tc>
        <w:tc>
          <w:tcPr>
            <w:tcW w:type="dxa" w:w="2351"/>
          </w:tcPr>
          <w:p>
            <w:r>
              <w:t>Release inicial em produção</w:t>
            </w:r>
          </w:p>
        </w:tc>
        <w:tc>
          <w:tcPr>
            <w:tcW w:type="dxa" w:w="2351"/>
          </w:tcPr>
          <w:p>
            <w:r>
              <w:t>Substituído</w:t>
            </w:r>
          </w:p>
        </w:tc>
      </w:tr>
    </w:tbl>
    <w:p/>
    <w:p>
      <w:pPr>
        <w:jc w:val="center"/>
      </w:pPr>
      <w:r>
        <w:rPr>
          <w:i/>
          <w:color w:val="5C6B7A"/>
          <w:sz w:val="16"/>
        </w:rPr>
        <w:t>Este modelo foi gerado por AI Act Portugal (https://aiact-portugal.pt) como guia indicativo de conformidade com o Regulamento (UE) 2024/1689. Os exemplos pré-preenchidos referem-se a uma organização ficcional (TechMed Solutions, S.A.) - adapte os campos à realidade da sua organização. Não substitui aconselhamento jurídico.</w:t>
      </w:r>
    </w:p>
    <w:p>
      <w:r>
        <w:br w:type="page"/>
      </w:r>
    </w:p>
    <w:p>
      <w:pPr>
        <w:pStyle w:val="Heading2"/>
      </w:pPr>
      <w:r>
        <w:rPr>
          <w:rFonts w:ascii="Calibri" w:hAnsi="Calibri"/>
          <w:color w:val="0F172A"/>
        </w:rPr>
        <w:t>Histórico de revisões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0F172A"/>
          </w:tcPr>
          <w:p>
            <w:r>
              <w:rPr>
                <w:b/>
                <w:color w:val="FFFFFF"/>
              </w:rPr>
              <w:t>Versão</w:t>
            </w:r>
          </w:p>
        </w:tc>
        <w:tc>
          <w:tcPr>
            <w:tcW w:type="dxa" w:w="1881"/>
            <w:shd w:val="clear" w:color="auto" w:fill="0F172A"/>
          </w:tcPr>
          <w:p>
            <w:r>
              <w:rPr>
                <w:b/>
                <w:color w:val="FFFFFF"/>
              </w:rPr>
              <w:t>Data</w:t>
            </w:r>
          </w:p>
        </w:tc>
        <w:tc>
          <w:tcPr>
            <w:tcW w:type="dxa" w:w="1881"/>
            <w:shd w:val="clear" w:color="auto" w:fill="0F172A"/>
          </w:tcPr>
          <w:p>
            <w:r>
              <w:rPr>
                <w:b/>
                <w:color w:val="FFFFFF"/>
              </w:rPr>
              <w:t>Autor</w:t>
            </w:r>
          </w:p>
        </w:tc>
        <w:tc>
          <w:tcPr>
            <w:tcW w:type="dxa" w:w="1881"/>
            <w:shd w:val="clear" w:color="auto" w:fill="0F172A"/>
          </w:tcPr>
          <w:p>
            <w:r>
              <w:rPr>
                <w:b/>
                <w:color w:val="FFFFFF"/>
              </w:rPr>
              <w:t>Resumo das alterações</w:t>
            </w:r>
          </w:p>
        </w:tc>
        <w:tc>
          <w:tcPr>
            <w:tcW w:type="dxa" w:w="1881"/>
            <w:shd w:val="clear" w:color="auto" w:fill="0F172A"/>
          </w:tcPr>
          <w:p>
            <w:r>
              <w:rPr>
                <w:b/>
                <w:color w:val="FFFFFF"/>
              </w:rPr>
              <w:t>Aprovado por</w:t>
            </w:r>
          </w:p>
        </w:tc>
      </w:tr>
      <w:tr>
        <w:tc>
          <w:tcPr>
            <w:tcW w:type="dxa" w:w="1881"/>
          </w:tcPr>
          <w:p>
            <w:r>
              <w:t>1.0</w:t>
            </w:r>
          </w:p>
        </w:tc>
        <w:tc>
          <w:tcPr>
            <w:tcW w:type="dxa" w:w="1881"/>
          </w:tcPr>
          <w:p>
            <w:r>
              <w:t>2026-04-15</w:t>
            </w:r>
          </w:p>
        </w:tc>
        <w:tc>
          <w:tcPr>
            <w:tcW w:type="dxa" w:w="1881"/>
          </w:tcPr>
          <w:p>
            <w:r>
              <w:t>AI Officer</w:t>
            </w:r>
          </w:p>
        </w:tc>
        <w:tc>
          <w:tcPr>
            <w:tcW w:type="dxa" w:w="1881"/>
          </w:tcPr>
          <w:p>
            <w:r>
              <w:t>Versão inicial</w:t>
            </w:r>
          </w:p>
        </w:tc>
        <w:tc>
          <w:tcPr>
            <w:tcW w:type="dxa" w:w="1881"/>
          </w:tcPr>
          <w:p>
            <w:r>
              <w:t>CEO + Comité IA</w:t>
            </w:r>
          </w:p>
        </w:tc>
      </w:tr>
      <w:tr>
        <w:tc>
          <w:tcPr>
            <w:tcW w:type="dxa" w:w="1881"/>
          </w:tcPr>
          <w:p>
            <w:r>
              <w:t>1.1</w:t>
            </w:r>
          </w:p>
        </w:tc>
        <w:tc>
          <w:tcPr>
            <w:tcW w:type="dxa" w:w="1881"/>
          </w:tcPr>
          <w:p>
            <w:r>
              <w:t>__/__/______</w:t>
            </w:r>
          </w:p>
        </w:tc>
        <w:tc>
          <w:tcPr>
            <w:tcW w:type="dxa" w:w="1881"/>
          </w:tcPr>
          <w:p>
            <w:r>
              <w:t>________________</w:t>
            </w:r>
          </w:p>
        </w:tc>
        <w:tc>
          <w:tcPr>
            <w:tcW w:type="dxa" w:w="1881"/>
          </w:tcPr>
          <w:p>
            <w:r>
              <w:t>________________</w:t>
            </w:r>
          </w:p>
        </w:tc>
        <w:tc>
          <w:tcPr>
            <w:tcW w:type="dxa" w:w="1881"/>
          </w:tcPr>
          <w:p>
            <w:r>
              <w:t>________________</w:t>
            </w:r>
          </w:p>
        </w:tc>
      </w:tr>
      <w:tr>
        <w:tc>
          <w:tcPr>
            <w:tcW w:type="dxa" w:w="1881"/>
          </w:tcPr>
          <w:p>
            <w:r/>
          </w:p>
        </w:tc>
        <w:tc>
          <w:tcPr>
            <w:tcW w:type="dxa" w:w="1881"/>
          </w:tcPr>
          <w:p>
            <w:r/>
          </w:p>
        </w:tc>
        <w:tc>
          <w:tcPr>
            <w:tcW w:type="dxa" w:w="1881"/>
          </w:tcPr>
          <w:p>
            <w:r/>
          </w:p>
        </w:tc>
        <w:tc>
          <w:tcPr>
            <w:tcW w:type="dxa" w:w="1881"/>
          </w:tcPr>
          <w:p>
            <w:r/>
          </w:p>
        </w:tc>
        <w:tc>
          <w:tcPr>
            <w:tcW w:type="dxa" w:w="1881"/>
          </w:tcPr>
          <w:p>
            <w:r/>
          </w:p>
        </w:tc>
      </w:tr>
    </w:tbl>
    <w:p>
      <w:r>
        <w:rPr>
          <w:i/>
          <w:color w:val="5C6B7A"/>
          <w:sz w:val="18"/>
        </w:rPr>
        <w:t>Cada alteração material a este documento deve gerar nova versão e ser aprovada pelas pessoas designadas. Conserve histórico durante 10 anos (Art. 11(2) para sistemas de alto risco).</w:t>
      </w:r>
    </w:p>
    <w:p/>
    <w:p>
      <w:pPr>
        <w:pStyle w:val="Heading2"/>
      </w:pPr>
      <w:r>
        <w:rPr>
          <w:rFonts w:ascii="Calibri" w:hAnsi="Calibri"/>
          <w:color w:val="0F172A"/>
        </w:rPr>
        <w:t>Aprovações</w:t>
      </w:r>
    </w:p>
    <w:p>
      <w:r>
        <w:rPr>
          <w:sz w:val="21"/>
        </w:rPr>
        <w:t>Este documento foi revisto e aprovado pelas pessoas indicadas abaixo. As assinaturas atestam concordância com o conteúdo e compromisso com a sua aplicação na organização.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135"/>
        <w:gridCol w:w="3135"/>
        <w:gridCol w:w="3135"/>
      </w:tblGrid>
      <w:tr>
        <w:tc>
          <w:tcPr>
            <w:tcW w:type="dxa" w:w="3135"/>
            <w:shd w:val="clear" w:color="auto" w:fill="0F172A"/>
          </w:tcPr>
          <w:p>
            <w:r>
              <w:rPr>
                <w:b/>
                <w:color w:val="FFFFFF"/>
              </w:rPr>
              <w:t>Papel</w:t>
            </w:r>
          </w:p>
        </w:tc>
        <w:tc>
          <w:tcPr>
            <w:tcW w:type="dxa" w:w="3135"/>
            <w:shd w:val="clear" w:color="auto" w:fill="0F172A"/>
          </w:tcPr>
          <w:p>
            <w:r>
              <w:rPr>
                <w:b/>
                <w:color w:val="FFFFFF"/>
              </w:rPr>
              <w:t>Nome e cargo</w:t>
            </w:r>
          </w:p>
        </w:tc>
        <w:tc>
          <w:tcPr>
            <w:tcW w:type="dxa" w:w="3135"/>
            <w:shd w:val="clear" w:color="auto" w:fill="0F172A"/>
          </w:tcPr>
          <w:p>
            <w:r>
              <w:rPr>
                <w:b/>
                <w:color w:val="FFFFFF"/>
              </w:rPr>
              <w:t>Assinatura e data</w:t>
            </w:r>
          </w:p>
        </w:tc>
      </w:tr>
      <w:tr>
        <w:tc>
          <w:tcPr>
            <w:tcW w:type="dxa" w:w="3135"/>
          </w:tcPr>
          <w:p>
            <w:r>
              <w:t>Elaborado por</w:t>
            </w:r>
          </w:p>
        </w:tc>
        <w:tc>
          <w:tcPr>
            <w:tcW w:type="dxa" w:w="3135"/>
          </w:tcPr>
          <w:p>
            <w:r>
              <w:t>[Nome] · AI Officer</w:t>
            </w:r>
          </w:p>
        </w:tc>
        <w:tc>
          <w:tcPr>
            <w:tcW w:type="dxa" w:w="3135"/>
          </w:tcPr>
          <w:p>
            <w:r>
              <w:t>_______________________________  /  __/__/______</w:t>
            </w:r>
          </w:p>
        </w:tc>
      </w:tr>
      <w:tr>
        <w:tc>
          <w:tcPr>
            <w:tcW w:type="dxa" w:w="3135"/>
          </w:tcPr>
          <w:p>
            <w:r>
              <w:t>Revisto por</w:t>
            </w:r>
          </w:p>
        </w:tc>
        <w:tc>
          <w:tcPr>
            <w:tcW w:type="dxa" w:w="3135"/>
          </w:tcPr>
          <w:p>
            <w:r>
              <w:t>[Nome] · DPO + CISO + Compliance</w:t>
            </w:r>
          </w:p>
        </w:tc>
        <w:tc>
          <w:tcPr>
            <w:tcW w:type="dxa" w:w="3135"/>
          </w:tcPr>
          <w:p>
            <w:r>
              <w:t>_______________________________  /  __/__/______</w:t>
            </w:r>
          </w:p>
        </w:tc>
      </w:tr>
      <w:tr>
        <w:tc>
          <w:tcPr>
            <w:tcW w:type="dxa" w:w="3135"/>
          </w:tcPr>
          <w:p>
            <w:r>
              <w:t>Aprovado por</w:t>
            </w:r>
          </w:p>
        </w:tc>
        <w:tc>
          <w:tcPr>
            <w:tcW w:type="dxa" w:w="3135"/>
          </w:tcPr>
          <w:p>
            <w:r>
              <w:t>[Nome] · CEO</w:t>
            </w:r>
          </w:p>
        </w:tc>
        <w:tc>
          <w:tcPr>
            <w:tcW w:type="dxa" w:w="3135"/>
          </w:tcPr>
          <w:p>
            <w:r>
              <w:t>_______________________________  /  __/__/______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247" w:right="1417" w:bottom="1247" w:left="1417" w:header="680" w:footer="68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  <w:pBdr>
        <w:top w:val="single" w:sz="6" w:space="1" w:color="0891B2"/>
      </w:pBdr>
    </w:pPr>
    <w:r>
      <w:rPr>
        <w:rFonts w:ascii="Calibri" w:hAnsi="Calibri"/>
        <w:color w:val="5C6B7A"/>
        <w:sz w:val="17"/>
      </w:rPr>
      <w:t xml:space="preserve">Confidencial  |  Página </w:t>
    </w:r>
    <w:r>
      <w:rPr>
        <w:rFonts w:ascii="Calibri" w:hAnsi="Calibri"/>
        <w:color w:val="5C6B7A"/>
        <w:sz w:val="17"/>
      </w:rPr>
      <w:fldChar w:fldCharType="begin"/>
      <w:instrText>PAGE</w:instrText>
      <w:fldChar w:fldCharType="end"/>
    </w:r>
    <w:r>
      <w:rPr>
        <w:rFonts w:ascii="Calibri" w:hAnsi="Calibri"/>
        <w:color w:val="5C6B7A"/>
        <w:sz w:val="17"/>
      </w:rPr>
      <w:t xml:space="preserve"> de </w:t>
    </w:r>
    <w:r>
      <w:rPr>
        <w:rFonts w:ascii="Calibri" w:hAnsi="Calibri"/>
        <w:color w:val="5C6B7A"/>
        <w:sz w:val="17"/>
      </w:rPr>
      <w:fldChar w:fldCharType="begin"/>
      <w:instrText>NUMPAGES</w:instrText>
      <w:fldChar w:fldCharType="end"/>
    </w:r>
    <w:r>
      <w:rPr>
        <w:rFonts w:ascii="Calibri" w:hAnsi="Calibri"/>
        <w:color w:val="5C6B7A"/>
        <w:sz w:val="17"/>
      </w:rPr>
      <w:t xml:space="preserve">  ·  AI Act Portugal · Reg. (UE) 2024/1689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  <w:pBdr>
        <w:bottom w:val="single" w:sz="6" w:space="1" w:color="0F172A"/>
      </w:pBdr>
    </w:pPr>
    <w:r>
      <w:rPr>
        <w:rFonts w:ascii="Calibri" w:hAnsi="Calibri"/>
        <w:i/>
        <w:color w:val="5C6B7A"/>
        <w:sz w:val="17"/>
      </w:rPr>
      <w:t>AI Act Portugal  ·  Modelo Profissional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jc w:val="both"/>
    </w:pPr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