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0"/>
      </w:pPr>
    </w:p>
    <w:p>
      <w:pPr>
        <w:spacing w:after="400"/>
        <w:jc w:val="center"/>
      </w:pPr>
      <w:r>
        <w:rPr>
          <w:rFonts w:ascii="Calibri" w:hAnsi="Calibri"/>
          <w:b/>
          <w:color w:val="0891B2"/>
          <w:sz w:val="20"/>
        </w:rPr>
        <w:t>AI ACT PORTUGAL  ·  TEMPLATE PROFISSIONAL</w:t>
      </w:r>
    </w:p>
    <w:p>
      <w:pPr>
        <w:spacing w:after="800"/>
        <w:jc w:val="center"/>
      </w:pPr>
      <w:r>
        <w:rPr>
          <w:rFonts w:ascii="Calibri" w:hAnsi="Calibri"/>
          <w:i/>
          <w:color w:val="5C6B7A"/>
          <w:sz w:val="22"/>
        </w:rPr>
        <w:t>[Nome da organização]</w:t>
      </w:r>
    </w:p>
    <w:p>
      <w:pPr>
        <w:spacing w:after="300"/>
        <w:jc w:val="center"/>
      </w:pPr>
      <w:r>
        <w:rPr>
          <w:rFonts w:ascii="Calibri" w:hAnsi="Calibri"/>
          <w:b/>
          <w:color w:val="0F172A"/>
          <w:sz w:val="56"/>
        </w:rPr>
        <w:t>Plano de Change Management para Sistemas IA</w:t>
      </w:r>
    </w:p>
    <w:p>
      <w:pPr>
        <w:jc w:val="center"/>
      </w:pPr>
      <w:r>
        <w:rPr>
          <w:rFonts w:ascii="Calibri" w:hAnsi="Calibri"/>
          <w:color w:val="374151"/>
          <w:sz w:val="26"/>
        </w:rPr>
        <w:t>Gestão de alteração organizacional ao introduzir IA</w:t>
      </w:r>
    </w:p>
    <w:p>
      <w:pPr>
        <w:spacing w:after="1600" w:before="160"/>
        <w:jc w:val="center"/>
      </w:pPr>
      <w:r>
        <w:rPr>
          <w:rFonts w:ascii="Calibri" w:hAnsi="Calibri"/>
          <w:b/>
          <w:color w:val="EA580C"/>
          <w:sz w:val="22"/>
        </w:rPr>
        <w:t>Boa prática + Art. 26(7)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Versão: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1.0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Data de 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Maio de 2026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Autor: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 Act Portugal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aiact-portugal.pt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Base legal: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Regulamento (UE) 2024/1689</w:t>
            </w:r>
          </w:p>
        </w:tc>
      </w:tr>
    </w:tbl>
    <w:p>
      <w:pPr>
        <w:spacing w:after="1400"/>
      </w:pP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Modelo gratuito disponibilizado por</w:t>
      </w:r>
    </w:p>
    <w:p>
      <w:pPr>
        <w:jc w:val="center"/>
      </w:pPr>
      <w:r>
        <w:rPr>
          <w:rFonts w:ascii="Calibri" w:hAnsi="Calibri"/>
          <w:b/>
          <w:color w:val="0891B2"/>
          <w:sz w:val="24"/>
        </w:rPr>
        <w:t>https://aiact-portugal.pt</w:t>
      </w: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Conformidade com o Regulamento (UE) 2024/1689 (AI Act)</w:t>
      </w:r>
    </w:p>
    <w:p>
      <w:r>
        <w:br w:type="page"/>
      </w:r>
    </w:p>
    <w:p>
      <w:pPr>
        <w:pStyle w:val="Heading1"/>
      </w:pPr>
      <w:r>
        <w:rPr>
          <w:color w:val="0F172A"/>
        </w:rPr>
        <w:t>Sobre esta template</w:t>
      </w:r>
    </w:p>
    <w:p>
      <w:r>
        <w:rPr>
          <w:sz w:val="22"/>
        </w:rPr>
        <w:t>Esta template foi criada pela equipa AI Act Portugal para apoiar organizações em Portugal a implementar boas práticas de conformidade com o Regulamento (UE) 2024/1689 (AI Act). Está pré-preenchida com exemplos reais de uma organização ficcional consistente (TechMed Solutions, S.A.) para que possa ver como cada secção é esperada - basta substituir pelos dados da sua organização.</w:t>
      </w:r>
    </w:p>
    <w:p>
      <w:r>
        <w:rPr>
          <w:sz w:val="22"/>
        </w:rPr>
        <w:t>Para adaptar à sua organização: substitua os dados de exemplo pelos dados reais; ajuste as secções conforme a maturidade, dimensão e setor; remova ou expanda blocos opcionais; valide com o seu AI Officer, DPO e aconselhamento jurídico antes de utilização operacional ou submissão a autoridade competente.</w:t>
      </w:r>
    </w:p>
    <w:p>
      <w:pPr>
        <w:pStyle w:val="Heading1"/>
      </w:pPr>
      <w:r>
        <w:rPr>
          <w:color w:val="0F172A"/>
        </w:rPr>
        <w:t>Sobre AI Act Portugal</w:t>
      </w:r>
    </w:p>
    <w:p>
      <w:r>
        <w:rPr>
          <w:sz w:val="22"/>
        </w:rPr>
        <w:t>AI Act Portugal é uma plataforma informativa independente sobre o Regulamento (UE) 2024/1689 (AI Act) com foco em organizações portuguesas. Disponibiliza conteúdo jurídico-técnico atualizado, ferramentas interativas (classificador de risco, calculadora de custos, auditoria, dashboard, roadmap) e modelos profissionais alinhados com as obrigações regulatórias e com a coordenação da ANACOM.</w:t>
      </w:r>
    </w:p>
    <w:p>
      <w:r>
        <w:rPr>
          <w:b/>
          <w:sz w:val="21"/>
        </w:rPr>
        <w:t xml:space="preserve">Plataforma: </w:t>
      </w:r>
      <w:r>
        <w:rPr>
          <w:color w:val="0891B2"/>
          <w:sz w:val="21"/>
        </w:rPr>
        <w:t>https://aiact-portugal.pt</w:t>
      </w:r>
      <w:r>
        <w:rPr>
          <w:b/>
          <w:sz w:val="21"/>
        </w:rPr>
        <w:t xml:space="preserve">   ·   Contactos: </w:t>
      </w:r>
      <w:r>
        <w:rPr>
          <w:color w:val="0891B2"/>
          <w:sz w:val="21"/>
        </w:rPr>
        <w:t>aiact-portugal.pt/pages/contactos.html</w:t>
      </w:r>
    </w:p>
    <w:p>
      <w:r>
        <w:rPr>
          <w:i/>
          <w:color w:val="5C6B7A"/>
          <w:sz w:val="18"/>
        </w:rPr>
        <w:t>Aviso: este modelo não substitui aconselhamento jurídico profissional. Os exemplos pré-preenchidos referem-se a uma organização ficcional e devem ser adaptados à realidade específica da sua organização.</w:t>
      </w:r>
    </w:p>
    <w:p>
      <w:r>
        <w:br w:type="page"/>
      </w:r>
    </w:p>
    <w:p>
      <w:pPr>
        <w:pStyle w:val="Title"/>
      </w:pPr>
      <w:r>
        <w:rPr>
          <w:color w:val="0F172A"/>
          <w:sz w:val="44"/>
        </w:rPr>
        <w:t>Plano de Change Management para Sistemas IA</w:t>
      </w:r>
    </w:p>
    <w:p>
      <w:r>
        <w:rPr>
          <w:i/>
          <w:color w:val="5C6B7A"/>
          <w:sz w:val="19"/>
        </w:rPr>
        <w:t>[Logo da organização]</w:t>
      </w:r>
    </w:p>
    <w:p>
      <w:r>
        <w:rPr>
          <w:b/>
          <w:color w:val="0F172A"/>
          <w:sz w:val="22"/>
        </w:rPr>
        <w:t>[Nome da organização]</w:t>
      </w:r>
    </w:p>
    <w:p>
      <w:r>
        <w:rPr>
          <w:i/>
          <w:color w:val="5C6B7A"/>
          <w:sz w:val="18"/>
        </w:rPr>
        <w:t>Preparado com apoio de AI Act Portugal - aiact-portugal.pt</w:t>
      </w:r>
    </w:p>
    <w:p>
      <w:pPr>
        <w:pBdr>
          <w:bottom w:val="single" w:sz="12" w:space="1" w:color="0891B2"/>
        </w:pBdr>
      </w:pPr>
    </w:p>
    <w:p>
      <w:r>
        <w:rPr>
          <w:b/>
          <w:i/>
          <w:color w:val="EA580C"/>
          <w:sz w:val="19"/>
        </w:rPr>
        <w:t>💡  EXEMPLO PRÉ-PREENCHIDO: Plano usado para introdução do HR-Match no recrutamento da TechMed (2026-Q1).</w:t>
      </w:r>
    </w:p>
    <w:p>
      <w:pPr>
        <w:pStyle w:val="Heading1"/>
      </w:pPr>
      <w:r>
        <w:rPr>
          <w:color w:val="0F172A"/>
        </w:rPr>
        <w:t>▌ 1. Objetivo</w:t>
      </w:r>
    </w:p>
    <w:p>
      <w:r>
        <w:rPr>
          <w:sz w:val="22"/>
        </w:rPr>
        <w:t>Garantir uma adoção bem-sucedida de novos sistemas IA, minimizar resistência, maximizar valor entregue e cumprir obrigações de informação a trabalhadores (Art. 26(7) do AI Act).</w:t>
      </w:r>
    </w:p>
    <w:p>
      <w:pPr>
        <w:pStyle w:val="Heading1"/>
      </w:pPr>
      <w:r>
        <w:rPr>
          <w:color w:val="0F172A"/>
        </w:rPr>
        <w:t>▌ 2. Princípios (modelo ADKAR adaptado)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Etapa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Foco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Atividade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Quando</w:t>
            </w:r>
          </w:p>
        </w:tc>
      </w:tr>
      <w:tr>
        <w:tc>
          <w:tcPr>
            <w:tcW w:type="dxa" w:w="2351"/>
          </w:tcPr>
          <w:p>
            <w:r>
              <w:t>Awareness</w:t>
            </w:r>
          </w:p>
        </w:tc>
        <w:tc>
          <w:tcPr>
            <w:tcW w:type="dxa" w:w="2351"/>
          </w:tcPr>
          <w:p>
            <w:r>
              <w:t>Consciência da mudança</w:t>
            </w:r>
          </w:p>
        </w:tc>
        <w:tc>
          <w:tcPr>
            <w:tcW w:type="dxa" w:w="2351"/>
          </w:tcPr>
          <w:p>
            <w:r>
              <w:t>Comunicação inicial + sessão informativa</w:t>
            </w:r>
          </w:p>
        </w:tc>
        <w:tc>
          <w:tcPr>
            <w:tcW w:type="dxa" w:w="2351"/>
          </w:tcPr>
          <w:p>
            <w:r>
              <w:t>Antes do go-live</w:t>
            </w:r>
          </w:p>
        </w:tc>
      </w:tr>
      <w:tr>
        <w:tc>
          <w:tcPr>
            <w:tcW w:type="dxa" w:w="2351"/>
          </w:tcPr>
          <w:p>
            <w:r>
              <w:t>Desire</w:t>
            </w:r>
          </w:p>
        </w:tc>
        <w:tc>
          <w:tcPr>
            <w:tcW w:type="dxa" w:w="2351"/>
          </w:tcPr>
          <w:p>
            <w:r>
              <w:t>Desejo de participar/apoiar</w:t>
            </w:r>
          </w:p>
        </w:tc>
        <w:tc>
          <w:tcPr>
            <w:tcW w:type="dxa" w:w="2351"/>
          </w:tcPr>
          <w:p>
            <w:r>
              <w:t>Demonstração benefícios + receios endereçados</w:t>
            </w:r>
          </w:p>
        </w:tc>
        <w:tc>
          <w:tcPr>
            <w:tcW w:type="dxa" w:w="2351"/>
          </w:tcPr>
          <w:p>
            <w:r>
              <w:t>Antes do go-live</w:t>
            </w:r>
          </w:p>
        </w:tc>
      </w:tr>
      <w:tr>
        <w:tc>
          <w:tcPr>
            <w:tcW w:type="dxa" w:w="2351"/>
          </w:tcPr>
          <w:p>
            <w:r>
              <w:t>Knowledge</w:t>
            </w:r>
          </w:p>
        </w:tc>
        <w:tc>
          <w:tcPr>
            <w:tcW w:type="dxa" w:w="2351"/>
          </w:tcPr>
          <w:p>
            <w:r>
              <w:t>Conhecimento de como mudar</w:t>
            </w:r>
          </w:p>
        </w:tc>
        <w:tc>
          <w:tcPr>
            <w:tcW w:type="dxa" w:w="2351"/>
          </w:tcPr>
          <w:p>
            <w:r>
              <w:t>Formação técnica + procedural</w:t>
            </w:r>
          </w:p>
        </w:tc>
        <w:tc>
          <w:tcPr>
            <w:tcW w:type="dxa" w:w="2351"/>
          </w:tcPr>
          <w:p>
            <w:r>
              <w:t>Pré-go-live</w:t>
            </w:r>
          </w:p>
        </w:tc>
      </w:tr>
      <w:tr>
        <w:tc>
          <w:tcPr>
            <w:tcW w:type="dxa" w:w="2351"/>
          </w:tcPr>
          <w:p>
            <w:r>
              <w:t>Ability</w:t>
            </w:r>
          </w:p>
        </w:tc>
        <w:tc>
          <w:tcPr>
            <w:tcW w:type="dxa" w:w="2351"/>
          </w:tcPr>
          <w:p>
            <w:r>
              <w:t>Capacidade de implementar</w:t>
            </w:r>
          </w:p>
        </w:tc>
        <w:tc>
          <w:tcPr>
            <w:tcW w:type="dxa" w:w="2351"/>
          </w:tcPr>
          <w:p>
            <w:r>
              <w:t>Hands-on + suporte primeiras semanas</w:t>
            </w:r>
          </w:p>
        </w:tc>
        <w:tc>
          <w:tcPr>
            <w:tcW w:type="dxa" w:w="2351"/>
          </w:tcPr>
          <w:p>
            <w:r>
              <w:t>Go-live + 30d</w:t>
            </w:r>
          </w:p>
        </w:tc>
      </w:tr>
      <w:tr>
        <w:tc>
          <w:tcPr>
            <w:tcW w:type="dxa" w:w="2351"/>
          </w:tcPr>
          <w:p>
            <w:r>
              <w:t>Reinforcement</w:t>
            </w:r>
          </w:p>
        </w:tc>
        <w:tc>
          <w:tcPr>
            <w:tcW w:type="dxa" w:w="2351"/>
          </w:tcPr>
          <w:p>
            <w:r>
              <w:t>Reforço para sustentar</w:t>
            </w:r>
          </w:p>
        </w:tc>
        <w:tc>
          <w:tcPr>
            <w:tcW w:type="dxa" w:w="2351"/>
          </w:tcPr>
          <w:p>
            <w:r>
              <w:t>KPIs + recompensas + feedback contínuo</w:t>
            </w:r>
          </w:p>
        </w:tc>
        <w:tc>
          <w:tcPr>
            <w:tcW w:type="dxa" w:w="2351"/>
          </w:tcPr>
          <w:p>
            <w:r>
              <w:t>Permanente</w:t>
            </w:r>
          </w:p>
        </w:tc>
      </w:tr>
    </w:tbl>
    <w:p>
      <w:pPr>
        <w:pStyle w:val="Heading1"/>
      </w:pPr>
      <w:r>
        <w:rPr>
          <w:color w:val="0F172A"/>
        </w:rPr>
        <w:t>▌ 3. Stakeholders e estratégia (HR-Match exemplo)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Stakeholder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Influência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Atitude esperada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Estratégia</w:t>
            </w:r>
          </w:p>
        </w:tc>
      </w:tr>
      <w:tr>
        <w:tc>
          <w:tcPr>
            <w:tcW w:type="dxa" w:w="2351"/>
          </w:tcPr>
          <w:p>
            <w:r>
              <w:t>Recruiters</w:t>
            </w:r>
          </w:p>
        </w:tc>
        <w:tc>
          <w:tcPr>
            <w:tcW w:type="dxa" w:w="2351"/>
          </w:tcPr>
          <w:p>
            <w:r>
              <w:t>Alto</w:t>
            </w:r>
          </w:p>
        </w:tc>
        <w:tc>
          <w:tcPr>
            <w:tcW w:type="dxa" w:w="2351"/>
          </w:tcPr>
          <w:p>
            <w:r>
              <w:t>Fortes - receio substituição</w:t>
            </w:r>
          </w:p>
        </w:tc>
        <w:tc>
          <w:tcPr>
            <w:tcW w:type="dxa" w:w="2351"/>
          </w:tcPr>
          <w:p>
            <w:r>
              <w:t>Posicionar como assistente; eles decidem; demonstrar tempo poupado</w:t>
            </w:r>
          </w:p>
        </w:tc>
      </w:tr>
      <w:tr>
        <w:tc>
          <w:tcPr>
            <w:tcW w:type="dxa" w:w="2351"/>
          </w:tcPr>
          <w:p>
            <w:r>
              <w:t>Candidatos</w:t>
            </w:r>
          </w:p>
        </w:tc>
        <w:tc>
          <w:tcPr>
            <w:tcW w:type="dxa" w:w="2351"/>
          </w:tcPr>
          <w:p>
            <w:r>
              <w:t>Médio</w:t>
            </w:r>
          </w:p>
        </w:tc>
        <w:tc>
          <w:tcPr>
            <w:tcW w:type="dxa" w:w="2351"/>
          </w:tcPr>
          <w:p>
            <w:r>
              <w:t>Receio discriminação algorítmica</w:t>
            </w:r>
          </w:p>
        </w:tc>
        <w:tc>
          <w:tcPr>
            <w:tcW w:type="dxa" w:w="2351"/>
          </w:tcPr>
          <w:p>
            <w:r>
              <w:t>Aviso transparência; canal queixa; explicação SHAP</w:t>
            </w:r>
          </w:p>
        </w:tc>
      </w:tr>
      <w:tr>
        <w:tc>
          <w:tcPr>
            <w:tcW w:type="dxa" w:w="2351"/>
          </w:tcPr>
          <w:p>
            <w:r>
              <w:t>Direção RH</w:t>
            </w:r>
          </w:p>
        </w:tc>
        <w:tc>
          <w:tcPr>
            <w:tcW w:type="dxa" w:w="2351"/>
          </w:tcPr>
          <w:p>
            <w:r>
              <w:t>Alto</w:t>
            </w:r>
          </w:p>
        </w:tc>
        <w:tc>
          <w:tcPr>
            <w:tcW w:type="dxa" w:w="2351"/>
          </w:tcPr>
          <w:p>
            <w:r>
              <w:t>Foco em ROI</w:t>
            </w:r>
          </w:p>
        </w:tc>
        <w:tc>
          <w:tcPr>
            <w:tcW w:type="dxa" w:w="2351"/>
          </w:tcPr>
          <w:p>
            <w:r>
              <w:t>Métricas claras: tempo, qualidade, custo</w:t>
            </w:r>
          </w:p>
        </w:tc>
      </w:tr>
      <w:tr>
        <w:tc>
          <w:tcPr>
            <w:tcW w:type="dxa" w:w="2351"/>
          </w:tcPr>
          <w:p>
            <w:r>
              <w:t>Sindicatos</w:t>
            </w:r>
          </w:p>
        </w:tc>
        <w:tc>
          <w:tcPr>
            <w:tcW w:type="dxa" w:w="2351"/>
          </w:tcPr>
          <w:p>
            <w:r>
              <w:t>Alto</w:t>
            </w:r>
          </w:p>
        </w:tc>
        <w:tc>
          <w:tcPr>
            <w:tcW w:type="dxa" w:w="2351"/>
          </w:tcPr>
          <w:p>
            <w:r>
              <w:t>Cuidado com proteção trabalhadores</w:t>
            </w:r>
          </w:p>
        </w:tc>
        <w:tc>
          <w:tcPr>
            <w:tcW w:type="dxa" w:w="2351"/>
          </w:tcPr>
          <w:p>
            <w:r>
              <w:t>Comunicação proativa; respeito Art. 26(7)</w:t>
            </w:r>
          </w:p>
        </w:tc>
      </w:tr>
      <w:tr>
        <w:tc>
          <w:tcPr>
            <w:tcW w:type="dxa" w:w="2351"/>
          </w:tcPr>
          <w:p>
            <w:r>
              <w:t>IT</w:t>
            </w:r>
          </w:p>
        </w:tc>
        <w:tc>
          <w:tcPr>
            <w:tcW w:type="dxa" w:w="2351"/>
          </w:tcPr>
          <w:p>
            <w:r>
              <w:t>Médio</w:t>
            </w:r>
          </w:p>
        </w:tc>
        <w:tc>
          <w:tcPr>
            <w:tcW w:type="dxa" w:w="2351"/>
          </w:tcPr>
          <w:p>
            <w:r>
              <w:t>Carga de manutenção adicional</w:t>
            </w:r>
          </w:p>
        </w:tc>
        <w:tc>
          <w:tcPr>
            <w:tcW w:type="dxa" w:w="2351"/>
          </w:tcPr>
          <w:p>
            <w:r>
              <w:t>Onboarding técnico; SLA fornecedor; documentação</w:t>
            </w:r>
          </w:p>
        </w:tc>
      </w:tr>
    </w:tbl>
    <w:p>
      <w:pPr>
        <w:pStyle w:val="Heading1"/>
      </w:pPr>
      <w:r>
        <w:rPr>
          <w:color w:val="0F172A"/>
        </w:rPr>
        <w:t>▌ 4. Plano de comunicação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Audiência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Canal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Data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Mensagem-chave</w:t>
            </w:r>
          </w:p>
        </w:tc>
      </w:tr>
      <w:tr>
        <w:tc>
          <w:tcPr>
            <w:tcW w:type="dxa" w:w="2351"/>
          </w:tcPr>
          <w:p>
            <w:r>
              <w:t>Sponsor announcement</w:t>
            </w:r>
          </w:p>
        </w:tc>
        <w:tc>
          <w:tcPr>
            <w:tcW w:type="dxa" w:w="2351"/>
          </w:tcPr>
          <w:p>
            <w:r>
              <w:t>CEO email a todos</w:t>
            </w:r>
          </w:p>
        </w:tc>
        <w:tc>
          <w:tcPr>
            <w:tcW w:type="dxa" w:w="2351"/>
          </w:tcPr>
          <w:p>
            <w:r>
              <w:t>2025-11-15</w:t>
            </w:r>
          </w:p>
        </w:tc>
        <w:tc>
          <w:tcPr>
            <w:tcW w:type="dxa" w:w="2351"/>
          </w:tcPr>
          <w:p>
            <w:r>
              <w:t>Decisão estratégica anunciada</w:t>
            </w:r>
          </w:p>
        </w:tc>
      </w:tr>
      <w:tr>
        <w:tc>
          <w:tcPr>
            <w:tcW w:type="dxa" w:w="2351"/>
          </w:tcPr>
          <w:p>
            <w:r>
              <w:t>Comissão Trabalhadores</w:t>
            </w:r>
          </w:p>
        </w:tc>
        <w:tc>
          <w:tcPr>
            <w:tcW w:type="dxa" w:w="2351"/>
          </w:tcPr>
          <w:p>
            <w:r>
              <w:t>Reunião formal</w:t>
            </w:r>
          </w:p>
        </w:tc>
        <w:tc>
          <w:tcPr>
            <w:tcW w:type="dxa" w:w="2351"/>
          </w:tcPr>
          <w:p>
            <w:r>
              <w:t>2025-11-15</w:t>
            </w:r>
          </w:p>
        </w:tc>
        <w:tc>
          <w:tcPr>
            <w:tcW w:type="dxa" w:w="2351"/>
          </w:tcPr>
          <w:p>
            <w:r>
              <w:t>Cumprimento Art. 26(7)</w:t>
            </w:r>
          </w:p>
        </w:tc>
      </w:tr>
      <w:tr>
        <w:tc>
          <w:tcPr>
            <w:tcW w:type="dxa" w:w="2351"/>
          </w:tcPr>
          <w:p>
            <w:r>
              <w:t>Sindicatos</w:t>
            </w:r>
          </w:p>
        </w:tc>
        <w:tc>
          <w:tcPr>
            <w:tcW w:type="dxa" w:w="2351"/>
          </w:tcPr>
          <w:p>
            <w:r>
              <w:t>Carta + reunião</w:t>
            </w:r>
          </w:p>
        </w:tc>
        <w:tc>
          <w:tcPr>
            <w:tcW w:type="dxa" w:w="2351"/>
          </w:tcPr>
          <w:p>
            <w:r>
              <w:t>2025-11-20</w:t>
            </w:r>
          </w:p>
        </w:tc>
        <w:tc>
          <w:tcPr>
            <w:tcW w:type="dxa" w:w="2351"/>
          </w:tcPr>
          <w:p>
            <w:r>
              <w:t>Diálogo prévio</w:t>
            </w:r>
          </w:p>
        </w:tc>
      </w:tr>
      <w:tr>
        <w:tc>
          <w:tcPr>
            <w:tcW w:type="dxa" w:w="2351"/>
          </w:tcPr>
          <w:p>
            <w:r>
              <w:t>Recruiters</w:t>
            </w:r>
          </w:p>
        </w:tc>
        <w:tc>
          <w:tcPr>
            <w:tcW w:type="dxa" w:w="2351"/>
          </w:tcPr>
          <w:p>
            <w:r>
              <w:t>Workshop + Q&amp;A</w:t>
            </w:r>
          </w:p>
        </w:tc>
        <w:tc>
          <w:tcPr>
            <w:tcW w:type="dxa" w:w="2351"/>
          </w:tcPr>
          <w:p>
            <w:r>
              <w:t>2025-12-01</w:t>
            </w:r>
          </w:p>
        </w:tc>
        <w:tc>
          <w:tcPr>
            <w:tcW w:type="dxa" w:w="2351"/>
          </w:tcPr>
          <w:p>
            <w:r>
              <w:t>Hands-on + receios</w:t>
            </w:r>
          </w:p>
        </w:tc>
      </w:tr>
      <w:tr>
        <w:tc>
          <w:tcPr>
            <w:tcW w:type="dxa" w:w="2351"/>
          </w:tcPr>
          <w:p>
            <w:r>
              <w:t>Restantes colaboradores</w:t>
            </w:r>
          </w:p>
        </w:tc>
        <w:tc>
          <w:tcPr>
            <w:tcW w:type="dxa" w:w="2351"/>
          </w:tcPr>
          <w:p>
            <w:r>
              <w:t>Comunicado interno</w:t>
            </w:r>
          </w:p>
        </w:tc>
        <w:tc>
          <w:tcPr>
            <w:tcW w:type="dxa" w:w="2351"/>
          </w:tcPr>
          <w:p>
            <w:r>
              <w:t>2025-12-15</w:t>
            </w:r>
          </w:p>
        </w:tc>
        <w:tc>
          <w:tcPr>
            <w:tcW w:type="dxa" w:w="2351"/>
          </w:tcPr>
          <w:p>
            <w:r>
              <w:t>Awareness geral</w:t>
            </w:r>
          </w:p>
        </w:tc>
      </w:tr>
      <w:tr>
        <w:tc>
          <w:tcPr>
            <w:tcW w:type="dxa" w:w="2351"/>
          </w:tcPr>
          <w:p>
            <w:r>
              <w:t>Candidatos externos</w:t>
            </w:r>
          </w:p>
        </w:tc>
        <w:tc>
          <w:tcPr>
            <w:tcW w:type="dxa" w:w="2351"/>
          </w:tcPr>
          <w:p>
            <w:r>
              <w:t>Aviso no formulário</w:t>
            </w:r>
          </w:p>
        </w:tc>
        <w:tc>
          <w:tcPr>
            <w:tcW w:type="dxa" w:w="2351"/>
          </w:tcPr>
          <w:p>
            <w:r>
              <w:t>2026-01-10</w:t>
            </w:r>
          </w:p>
        </w:tc>
        <w:tc>
          <w:tcPr>
            <w:tcW w:type="dxa" w:w="2351"/>
          </w:tcPr>
          <w:p>
            <w:r>
              <w:t>Transparência (Art. 50)</w:t>
            </w:r>
          </w:p>
        </w:tc>
      </w:tr>
      <w:tr>
        <w:tc>
          <w:tcPr>
            <w:tcW w:type="dxa" w:w="2351"/>
          </w:tcPr>
          <w:p>
            <w:r>
              <w:t>Hospitais parceiros</w:t>
            </w:r>
          </w:p>
        </w:tc>
        <w:tc>
          <w:tcPr>
            <w:tcW w:type="dxa" w:w="2351"/>
          </w:tcPr>
          <w:p>
            <w:r>
              <w:t>Email + reunião</w:t>
            </w:r>
          </w:p>
        </w:tc>
        <w:tc>
          <w:tcPr>
            <w:tcW w:type="dxa" w:w="2351"/>
          </w:tcPr>
          <w:p>
            <w:r>
              <w:t>2025-12-20</w:t>
            </w:r>
          </w:p>
        </w:tc>
        <w:tc>
          <w:tcPr>
            <w:tcW w:type="dxa" w:w="2351"/>
          </w:tcPr>
          <w:p>
            <w:r>
              <w:t>Stakeholders externos</w:t>
            </w:r>
          </w:p>
        </w:tc>
      </w:tr>
      <w:tr>
        <w:tc>
          <w:tcPr>
            <w:tcW w:type="dxa" w:w="2351"/>
          </w:tcPr>
          <w:p>
            <w:r>
              <w:t>Pós go-live (mensal)</w:t>
            </w:r>
          </w:p>
        </w:tc>
        <w:tc>
          <w:tcPr>
            <w:tcW w:type="dxa" w:w="2351"/>
          </w:tcPr>
          <w:p>
            <w:r>
              <w:t>KPIs + retrospectiva</w:t>
            </w:r>
          </w:p>
        </w:tc>
        <w:tc>
          <w:tcPr>
            <w:tcW w:type="dxa" w:w="2351"/>
          </w:tcPr>
          <w:p>
            <w:r>
              <w:t>2026-Q1+</w:t>
            </w:r>
          </w:p>
        </w:tc>
        <w:tc>
          <w:tcPr>
            <w:tcW w:type="dxa" w:w="2351"/>
          </w:tcPr>
          <w:p>
            <w:r>
              <w:t>Reinforcement</w:t>
            </w:r>
          </w:p>
        </w:tc>
      </w:tr>
    </w:tbl>
    <w:p>
      <w:pPr>
        <w:pStyle w:val="Heading1"/>
      </w:pPr>
      <w:r>
        <w:rPr>
          <w:color w:val="0F172A"/>
        </w:rPr>
        <w:t>▌ 5. Resistências esperadas e mitigações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Resistência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Severidade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Mitigação</w:t>
            </w:r>
          </w:p>
        </w:tc>
      </w:tr>
      <w:tr>
        <w:tc>
          <w:tcPr>
            <w:tcW w:type="dxa" w:w="3135"/>
          </w:tcPr>
          <w:p>
            <w:r>
              <w:t>"Vou ser substituído"</w:t>
            </w:r>
          </w:p>
        </w:tc>
        <w:tc>
          <w:tcPr>
            <w:tcW w:type="dxa" w:w="3135"/>
          </w:tcPr>
          <w:p>
            <w:r>
              <w:t>Médio-alto</w:t>
            </w:r>
          </w:p>
        </w:tc>
        <w:tc>
          <w:tcPr>
            <w:tcW w:type="dxa" w:w="3135"/>
          </w:tcPr>
          <w:p>
            <w:r>
              <w:t>Posicionar IA como assistente; garantir que decisão final é humana; mostrar casos onde IA falha sem humano</w:t>
            </w:r>
          </w:p>
        </w:tc>
      </w:tr>
      <w:tr>
        <w:tc>
          <w:tcPr>
            <w:tcW w:type="dxa" w:w="3135"/>
          </w:tcPr>
          <w:p>
            <w:r>
              <w:t>"Decisões enviesadas"</w:t>
            </w:r>
          </w:p>
        </w:tc>
        <w:tc>
          <w:tcPr>
            <w:tcW w:type="dxa" w:w="3135"/>
          </w:tcPr>
          <w:p>
            <w:r>
              <w:t>Médio</w:t>
            </w:r>
          </w:p>
        </w:tc>
        <w:tc>
          <w:tcPr>
            <w:tcW w:type="dxa" w:w="3135"/>
          </w:tcPr>
          <w:p>
            <w:r>
              <w:t>Auditoria fairness mensal pública; explicação SHAP; canal queixa; FRIA realizada</w:t>
            </w:r>
          </w:p>
        </w:tc>
      </w:tr>
      <w:tr>
        <w:tc>
          <w:tcPr>
            <w:tcW w:type="dxa" w:w="3135"/>
          </w:tcPr>
          <w:p>
            <w:r>
              <w:t>"Mais trabalho de configurar"</w:t>
            </w:r>
          </w:p>
        </w:tc>
        <w:tc>
          <w:tcPr>
            <w:tcW w:type="dxa" w:w="3135"/>
          </w:tcPr>
          <w:p>
            <w:r>
              <w:t>Baixo</w:t>
            </w:r>
          </w:p>
        </w:tc>
        <w:tc>
          <w:tcPr>
            <w:tcW w:type="dxa" w:w="3135"/>
          </w:tcPr>
          <w:p>
            <w:r>
              <w:t>Onboarding 8h + suporte primeiras 4 semanas; templates prontos</w:t>
            </w:r>
          </w:p>
        </w:tc>
      </w:tr>
      <w:tr>
        <w:tc>
          <w:tcPr>
            <w:tcW w:type="dxa" w:w="3135"/>
          </w:tcPr>
          <w:p>
            <w:r>
              <w:t>"Não confio na máquina"</w:t>
            </w:r>
          </w:p>
        </w:tc>
        <w:tc>
          <w:tcPr>
            <w:tcW w:type="dxa" w:w="3135"/>
          </w:tcPr>
          <w:p>
            <w:r>
              <w:t>Médio</w:t>
            </w:r>
          </w:p>
        </w:tc>
        <w:tc>
          <w:tcPr>
            <w:tcW w:type="dxa" w:w="3135"/>
          </w:tcPr>
          <w:p>
            <w:r>
              <w:t>Demonstração com casos reais; transparência total das métricas; buy-in sénior</w:t>
            </w:r>
          </w:p>
        </w:tc>
      </w:tr>
    </w:tbl>
    <w:p>
      <w:pPr>
        <w:pStyle w:val="Heading1"/>
      </w:pPr>
      <w:r>
        <w:rPr>
          <w:color w:val="0F172A"/>
        </w:rPr>
        <w:t>▌ 6. KPIs de sucesso da change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KPI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Meta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Atual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Estado</w:t>
            </w:r>
          </w:p>
        </w:tc>
      </w:tr>
      <w:tr>
        <w:tc>
          <w:tcPr>
            <w:tcW w:type="dxa" w:w="2351"/>
          </w:tcPr>
          <w:p>
            <w:r>
              <w:t>Adoção (% candidaturas via HR-Match)</w:t>
            </w:r>
          </w:p>
        </w:tc>
        <w:tc>
          <w:tcPr>
            <w:tcW w:type="dxa" w:w="2351"/>
          </w:tcPr>
          <w:p>
            <w:r>
              <w:t>&gt; 80% em 90d</w:t>
            </w:r>
          </w:p>
        </w:tc>
        <w:tc>
          <w:tcPr>
            <w:tcW w:type="dxa" w:w="2351"/>
          </w:tcPr>
          <w:p>
            <w:r>
              <w:t>92% (Q1 2026)</w:t>
            </w:r>
          </w:p>
        </w:tc>
        <w:tc>
          <w:tcPr>
            <w:tcW w:type="dxa" w:w="2351"/>
          </w:tcPr>
          <w:p>
            <w:r>
              <w:t>OK</w:t>
            </w:r>
          </w:p>
        </w:tc>
      </w:tr>
      <w:tr>
        <w:tc>
          <w:tcPr>
            <w:tcW w:type="dxa" w:w="2351"/>
          </w:tcPr>
          <w:p>
            <w:r>
              <w:t>Satisfação recruiters (NPS)</w:t>
            </w:r>
          </w:p>
        </w:tc>
        <w:tc>
          <w:tcPr>
            <w:tcW w:type="dxa" w:w="2351"/>
          </w:tcPr>
          <w:p>
            <w:r>
              <w:t>≥ 7/10</w:t>
            </w:r>
          </w:p>
        </w:tc>
        <w:tc>
          <w:tcPr>
            <w:tcW w:type="dxa" w:w="2351"/>
          </w:tcPr>
          <w:p>
            <w:r>
              <w:t>8.2/10</w:t>
            </w:r>
          </w:p>
        </w:tc>
        <w:tc>
          <w:tcPr>
            <w:tcW w:type="dxa" w:w="2351"/>
          </w:tcPr>
          <w:p>
            <w:r>
              <w:t>OK</w:t>
            </w:r>
          </w:p>
        </w:tc>
      </w:tr>
      <w:tr>
        <w:tc>
          <w:tcPr>
            <w:tcW w:type="dxa" w:w="2351"/>
          </w:tcPr>
          <w:p>
            <w:r>
              <w:t>Tempo médio triagem (vs antes)</w:t>
            </w:r>
          </w:p>
        </w:tc>
        <w:tc>
          <w:tcPr>
            <w:tcW w:type="dxa" w:w="2351"/>
          </w:tcPr>
          <w:p>
            <w:r>
              <w:t>-50%</w:t>
            </w:r>
          </w:p>
        </w:tc>
        <w:tc>
          <w:tcPr>
            <w:tcW w:type="dxa" w:w="2351"/>
          </w:tcPr>
          <w:p>
            <w:r>
              <w:t>-58%</w:t>
            </w:r>
          </w:p>
        </w:tc>
        <w:tc>
          <w:tcPr>
            <w:tcW w:type="dxa" w:w="2351"/>
          </w:tcPr>
          <w:p>
            <w:r>
              <w:t>OK</w:t>
            </w:r>
          </w:p>
        </w:tc>
      </w:tr>
      <w:tr>
        <w:tc>
          <w:tcPr>
            <w:tcW w:type="dxa" w:w="2351"/>
          </w:tcPr>
          <w:p>
            <w:r>
              <w:t>Reclamações candidatos</w:t>
            </w:r>
          </w:p>
        </w:tc>
        <w:tc>
          <w:tcPr>
            <w:tcW w:type="dxa" w:w="2351"/>
          </w:tcPr>
          <w:p>
            <w:r>
              <w:t>&lt; 5/mês</w:t>
            </w:r>
          </w:p>
        </w:tc>
        <w:tc>
          <w:tcPr>
            <w:tcW w:type="dxa" w:w="2351"/>
          </w:tcPr>
          <w:p>
            <w:r>
              <w:t>2/mês</w:t>
            </w:r>
          </w:p>
        </w:tc>
        <w:tc>
          <w:tcPr>
            <w:tcW w:type="dxa" w:w="2351"/>
          </w:tcPr>
          <w:p>
            <w:r>
              <w:t>OK</w:t>
            </w:r>
          </w:p>
        </w:tc>
      </w:tr>
      <w:tr>
        <w:tc>
          <w:tcPr>
            <w:tcW w:type="dxa" w:w="2351"/>
          </w:tcPr>
          <w:p>
            <w:r>
              <w:t>Override pelos recruiters</w:t>
            </w:r>
          </w:p>
        </w:tc>
        <w:tc>
          <w:tcPr>
            <w:tcW w:type="dxa" w:w="2351"/>
          </w:tcPr>
          <w:p>
            <w:r>
              <w:t>&gt; 10% (saudável)</w:t>
            </w:r>
          </w:p>
        </w:tc>
        <w:tc>
          <w:tcPr>
            <w:tcW w:type="dxa" w:w="2351"/>
          </w:tcPr>
          <w:p>
            <w:r>
              <w:t>15%</w:t>
            </w:r>
          </w:p>
        </w:tc>
        <w:tc>
          <w:tcPr>
            <w:tcW w:type="dxa" w:w="2351"/>
          </w:tcPr>
          <w:p>
            <w:r>
              <w:t>OK (humano no comando)</w:t>
            </w:r>
          </w:p>
        </w:tc>
      </w:tr>
    </w:tbl>
    <w:p/>
    <w:p>
      <w:pPr>
        <w:jc w:val="center"/>
      </w:pPr>
      <w:r>
        <w:rPr>
          <w:i/>
          <w:color w:val="5C6B7A"/>
          <w:sz w:val="16"/>
        </w:rPr>
        <w:t>Este modelo foi gerado por AI Act Portugal (https://aiact-portugal.pt) como guia indicativo de conformidade com o Regulamento (UE) 2024/1689. Os exemplos pré-preenchidos referem-se a uma organização ficcional (TechMed Solutions, S.A.) - adapte os campos à realidade da sua organização. Não substitui aconselhamento jurídico.</w:t>
      </w:r>
    </w:p>
    <w:p>
      <w:r>
        <w:br w:type="page"/>
      </w:r>
    </w:p>
    <w:p>
      <w:pPr>
        <w:pStyle w:val="Heading2"/>
      </w:pPr>
      <w:r>
        <w:rPr>
          <w:rFonts w:ascii="Calibri" w:hAnsi="Calibri"/>
          <w:color w:val="0F172A"/>
        </w:rPr>
        <w:t>Histórico de revisões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Versão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Data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Autor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Resumo das alterações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Aprovado por</w:t>
            </w:r>
          </w:p>
        </w:tc>
      </w:tr>
      <w:tr>
        <w:tc>
          <w:tcPr>
            <w:tcW w:type="dxa" w:w="1881"/>
          </w:tcPr>
          <w:p>
            <w:r>
              <w:t>1.0</w:t>
            </w:r>
          </w:p>
        </w:tc>
        <w:tc>
          <w:tcPr>
            <w:tcW w:type="dxa" w:w="1881"/>
          </w:tcPr>
          <w:p>
            <w:r>
              <w:t>2026-04-15</w:t>
            </w:r>
          </w:p>
        </w:tc>
        <w:tc>
          <w:tcPr>
            <w:tcW w:type="dxa" w:w="1881"/>
          </w:tcPr>
          <w:p>
            <w:r>
              <w:t>AI Officer</w:t>
            </w:r>
          </w:p>
        </w:tc>
        <w:tc>
          <w:tcPr>
            <w:tcW w:type="dxa" w:w="1881"/>
          </w:tcPr>
          <w:p>
            <w:r>
              <w:t>Versão inicial</w:t>
            </w:r>
          </w:p>
        </w:tc>
        <w:tc>
          <w:tcPr>
            <w:tcW w:type="dxa" w:w="1881"/>
          </w:tcPr>
          <w:p>
            <w:r>
              <w:t>CEO + Comité IA</w:t>
            </w:r>
          </w:p>
        </w:tc>
      </w:tr>
      <w:tr>
        <w:tc>
          <w:tcPr>
            <w:tcW w:type="dxa" w:w="1881"/>
          </w:tcPr>
          <w:p>
            <w:r>
              <w:t>1.1</w:t>
            </w:r>
          </w:p>
        </w:tc>
        <w:tc>
          <w:tcPr>
            <w:tcW w:type="dxa" w:w="1881"/>
          </w:tcPr>
          <w:p>
            <w:r>
              <w:t>__/__/______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</w:tr>
      <w:tr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</w:tr>
    </w:tbl>
    <w:p>
      <w:r>
        <w:rPr>
          <w:i/>
          <w:color w:val="5C6B7A"/>
          <w:sz w:val="18"/>
        </w:rPr>
        <w:t>Cada alteração material a este documento deve gerar nova versão e ser aprovada pelas pessoas designadas. Conserve histórico durante 10 anos (Art. 11(2) para sistemas de alto risco).</w:t>
      </w:r>
    </w:p>
    <w:p/>
    <w:p>
      <w:pPr>
        <w:pStyle w:val="Heading2"/>
      </w:pPr>
      <w:r>
        <w:rPr>
          <w:rFonts w:ascii="Calibri" w:hAnsi="Calibri"/>
          <w:color w:val="0F172A"/>
        </w:rPr>
        <w:t>Aprovações</w:t>
      </w:r>
    </w:p>
    <w:p>
      <w:r>
        <w:rPr>
          <w:sz w:val="21"/>
        </w:rPr>
        <w:t>Este documento foi revisto e aprovado pelas pessoas indicadas abaixo. As assinaturas atestam concordância com o conteúdo e compromisso com a sua aplicação na organização.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Papel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Nome e cargo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Assinatura e data</w:t>
            </w:r>
          </w:p>
        </w:tc>
      </w:tr>
      <w:tr>
        <w:tc>
          <w:tcPr>
            <w:tcW w:type="dxa" w:w="3135"/>
          </w:tcPr>
          <w:p>
            <w:r>
              <w:t>Elaborado por</w:t>
            </w:r>
          </w:p>
        </w:tc>
        <w:tc>
          <w:tcPr>
            <w:tcW w:type="dxa" w:w="3135"/>
          </w:tcPr>
          <w:p>
            <w:r>
              <w:t>[Nome] · AI Officer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Revisto por</w:t>
            </w:r>
          </w:p>
        </w:tc>
        <w:tc>
          <w:tcPr>
            <w:tcW w:type="dxa" w:w="3135"/>
          </w:tcPr>
          <w:p>
            <w:r>
              <w:t>[Nome] · DPO + CISO + Compliance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Aprovado por</w:t>
            </w:r>
          </w:p>
        </w:tc>
        <w:tc>
          <w:tcPr>
            <w:tcW w:type="dxa" w:w="3135"/>
          </w:tcPr>
          <w:p>
            <w:r>
              <w:t>[Nome] · CEO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47" w:right="1417" w:bottom="1247" w:left="1417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  <w:pBdr>
        <w:top w:val="single" w:sz="6" w:space="1" w:color="0891B2"/>
      </w:pBdr>
    </w:pPr>
    <w:r>
      <w:rPr>
        <w:rFonts w:ascii="Calibri" w:hAnsi="Calibri"/>
        <w:color w:val="5C6B7A"/>
        <w:sz w:val="17"/>
      </w:rPr>
      <w:t xml:space="preserve">Confidencial  |  Página </w:t>
    </w:r>
    <w:r>
      <w:rPr>
        <w:rFonts w:ascii="Calibri" w:hAnsi="Calibri"/>
        <w:color w:val="5C6B7A"/>
        <w:sz w:val="17"/>
      </w:rPr>
      <w:fldChar w:fldCharType="begin"/>
      <w:instrText>PAGE</w:instrText>
      <w:fldChar w:fldCharType="end"/>
    </w:r>
    <w:r>
      <w:rPr>
        <w:rFonts w:ascii="Calibri" w:hAnsi="Calibri"/>
        <w:color w:val="5C6B7A"/>
        <w:sz w:val="17"/>
      </w:rPr>
      <w:t xml:space="preserve"> de </w:t>
    </w:r>
    <w:r>
      <w:rPr>
        <w:rFonts w:ascii="Calibri" w:hAnsi="Calibri"/>
        <w:color w:val="5C6B7A"/>
        <w:sz w:val="17"/>
      </w:rPr>
      <w:fldChar w:fldCharType="begin"/>
      <w:instrText>NUMPAGES</w:instrText>
      <w:fldChar w:fldCharType="end"/>
    </w:r>
    <w:r>
      <w:rPr>
        <w:rFonts w:ascii="Calibri" w:hAnsi="Calibri"/>
        <w:color w:val="5C6B7A"/>
        <w:sz w:val="17"/>
      </w:rPr>
      <w:t xml:space="preserve">  ·  AI Act Portugal · Reg. (UE) 2024/1689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6" w:space="1" w:color="0F172A"/>
      </w:pBdr>
    </w:pPr>
    <w:r>
      <w:rPr>
        <w:rFonts w:ascii="Calibri" w:hAnsi="Calibri"/>
        <w:i/>
        <w:color w:val="5C6B7A"/>
        <w:sz w:val="17"/>
      </w:rPr>
      <w:t>AI Act Portugal  ·  Modelo Profissional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jc w:val="both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