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Plano de Continuidade de Negócio (BCP) IA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Procedimento BCP-IA-001 v1.0 - boas práticas + ISO 22301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Boa prática + Art. 9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Plano de Continuidade de Negócio (BCP) IA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BCP institucional para os 3 sistemas IA da TechMed Solutions, S.A..</w:t>
      </w:r>
    </w:p>
    <w:p>
      <w:pPr>
        <w:pStyle w:val="Heading1"/>
      </w:pPr>
      <w:r>
        <w:rPr>
          <w:color w:val="0F172A"/>
        </w:rPr>
        <w:t>▌ 1. Objetivo</w:t>
      </w:r>
    </w:p>
    <w:p>
      <w:r>
        <w:rPr>
          <w:sz w:val="22"/>
        </w:rPr>
        <w:t>Garantir a continuidade dos serviços críticos suportados por sistemas de IA em caso de interrupção, minimizar impacto a doentes/utilizadores, cumprir compromissos contratuais e regulatórios.</w:t>
      </w:r>
    </w:p>
    <w:p>
      <w:pPr>
        <w:pStyle w:val="Heading1"/>
      </w:pPr>
      <w:r>
        <w:rPr>
          <w:color w:val="0F172A"/>
        </w:rPr>
        <w:t>▌ 2. Sistemas críticos abrangidos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Sistema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Função crítica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Criticidade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RTO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RPO</w:t>
            </w:r>
          </w:p>
        </w:tc>
        <w:tc>
          <w:tcPr>
            <w:tcW w:type="dxa" w:w="1568"/>
            <w:shd w:val="clear" w:color="auto" w:fill="0F172A"/>
          </w:tcPr>
          <w:p>
            <w:r>
              <w:rPr>
                <w:b/>
                <w:color w:val="FFFFFF"/>
              </w:rPr>
              <w:t>Modo degradado</w:t>
            </w:r>
          </w:p>
        </w:tc>
      </w:tr>
      <w:tr>
        <w:tc>
          <w:tcPr>
            <w:tcW w:type="dxa" w:w="1568"/>
          </w:tcPr>
          <w:p>
            <w:r>
              <w:t>MedTriage AI</w:t>
            </w:r>
          </w:p>
        </w:tc>
        <w:tc>
          <w:tcPr>
            <w:tcW w:type="dxa" w:w="1568"/>
          </w:tcPr>
          <w:p>
            <w:r>
              <w:t>Triagem clínica em 12 hospitais</w:t>
            </w:r>
          </w:p>
        </w:tc>
        <w:tc>
          <w:tcPr>
            <w:tcW w:type="dxa" w:w="1568"/>
          </w:tcPr>
          <w:p>
            <w:r>
              <w:t>Crítico</w:t>
            </w:r>
          </w:p>
        </w:tc>
        <w:tc>
          <w:tcPr>
            <w:tcW w:type="dxa" w:w="1568"/>
          </w:tcPr>
          <w:p>
            <w:r>
              <w:t>15 min</w:t>
            </w:r>
          </w:p>
        </w:tc>
        <w:tc>
          <w:tcPr>
            <w:tcW w:type="dxa" w:w="1568"/>
          </w:tcPr>
          <w:p>
            <w:r>
              <w:t>1 hora</w:t>
            </w:r>
          </w:p>
        </w:tc>
        <w:tc>
          <w:tcPr>
            <w:tcW w:type="dxa" w:w="1568"/>
          </w:tcPr>
          <w:p>
            <w:r>
              <w:t>Triagem manual MTS papel</w:t>
            </w:r>
          </w:p>
        </w:tc>
      </w:tr>
      <w:tr>
        <w:tc>
          <w:tcPr>
            <w:tcW w:type="dxa" w:w="1568"/>
          </w:tcPr>
          <w:p>
            <w:r>
              <w:t>HR-Match</w:t>
            </w:r>
          </w:p>
        </w:tc>
        <w:tc>
          <w:tcPr>
            <w:tcW w:type="dxa" w:w="1568"/>
          </w:tcPr>
          <w:p>
            <w:r>
              <w:t>Recrutamento</w:t>
            </w:r>
          </w:p>
        </w:tc>
        <w:tc>
          <w:tcPr>
            <w:tcW w:type="dxa" w:w="1568"/>
          </w:tcPr>
          <w:p>
            <w:r>
              <w:t>Médio</w:t>
            </w:r>
          </w:p>
        </w:tc>
        <w:tc>
          <w:tcPr>
            <w:tcW w:type="dxa" w:w="1568"/>
          </w:tcPr>
          <w:p>
            <w:r>
              <w:t>4h</w:t>
            </w:r>
          </w:p>
        </w:tc>
        <w:tc>
          <w:tcPr>
            <w:tcW w:type="dxa" w:w="1568"/>
          </w:tcPr>
          <w:p>
            <w:r>
              <w:t>24h</w:t>
            </w:r>
          </w:p>
        </w:tc>
        <w:tc>
          <w:tcPr>
            <w:tcW w:type="dxa" w:w="1568"/>
          </w:tcPr>
          <w:p>
            <w:r>
              <w:t>Triagem manual de CVs</w:t>
            </w:r>
          </w:p>
        </w:tc>
      </w:tr>
      <w:tr>
        <w:tc>
          <w:tcPr>
            <w:tcW w:type="dxa" w:w="1568"/>
          </w:tcPr>
          <w:p>
            <w:r>
              <w:t>CodeAssist GPAI</w:t>
            </w:r>
          </w:p>
        </w:tc>
        <w:tc>
          <w:tcPr>
            <w:tcW w:type="dxa" w:w="1568"/>
          </w:tcPr>
          <w:p>
            <w:r>
              <w:t>Suporte ao desenvolvimento</w:t>
            </w:r>
          </w:p>
        </w:tc>
        <w:tc>
          <w:tcPr>
            <w:tcW w:type="dxa" w:w="1568"/>
          </w:tcPr>
          <w:p>
            <w:r>
              <w:t>Baixo</w:t>
            </w:r>
          </w:p>
        </w:tc>
        <w:tc>
          <w:tcPr>
            <w:tcW w:type="dxa" w:w="1568"/>
          </w:tcPr>
          <w:p>
            <w:r>
              <w:t>24h</w:t>
            </w:r>
          </w:p>
        </w:tc>
        <w:tc>
          <w:tcPr>
            <w:tcW w:type="dxa" w:w="1568"/>
          </w:tcPr>
          <w:p>
            <w:r>
              <w:t>72h</w:t>
            </w:r>
          </w:p>
        </w:tc>
        <w:tc>
          <w:tcPr>
            <w:tcW w:type="dxa" w:w="1568"/>
          </w:tcPr>
          <w:p>
            <w:r>
              <w:t>Sem alternativa - usar IDE sem assistente</w:t>
            </w:r>
          </w:p>
        </w:tc>
      </w:tr>
    </w:tbl>
    <w:p>
      <w:r>
        <w:rPr>
          <w:i/>
          <w:sz w:val="19"/>
        </w:rPr>
        <w:t>RTO = Recovery Time Objective (tempo máximo de indisponibilidade); RPO = Recovery Point Objective (perda máxima de dados).</w:t>
      </w:r>
    </w:p>
    <w:p>
      <w:pPr>
        <w:pStyle w:val="Heading1"/>
      </w:pPr>
      <w:r>
        <w:rPr>
          <w:color w:val="0F172A"/>
        </w:rPr>
        <w:t>▌ 3. Cenários de disrupção identificados</w:t>
      </w:r>
    </w:p>
    <w:p>
      <w:pPr>
        <w:pStyle w:val="ListBullet"/>
        <w:ind w:left="283"/>
      </w:pPr>
      <w:r>
        <w:rPr>
          <w:sz w:val="21"/>
        </w:rPr>
        <w:t>☑  Falha do data center principal (incêndio, inundação, falha eléctrica) → ativação DR (ver DRP-IA-001)</w:t>
      </w:r>
    </w:p>
    <w:p>
      <w:pPr>
        <w:pStyle w:val="ListBullet"/>
        <w:ind w:left="283"/>
      </w:pPr>
      <w:r>
        <w:rPr>
          <w:sz w:val="21"/>
        </w:rPr>
        <w:t>☑  Ciberataque (ransomware, DDoS) → isolamento + restauração de backup limpa</w:t>
      </w:r>
    </w:p>
    <w:p>
      <w:pPr>
        <w:pStyle w:val="ListBullet"/>
        <w:ind w:left="283"/>
      </w:pPr>
      <w:r>
        <w:rPr>
          <w:sz w:val="21"/>
        </w:rPr>
        <w:t>☑  Falha do fornecedor crítico (TalentAI Pro p/ HR-Match; AWS p/ infra) → backup vendor / continuidade manual</w:t>
      </w:r>
    </w:p>
    <w:p>
      <w:pPr>
        <w:pStyle w:val="ListBullet"/>
        <w:ind w:left="283"/>
      </w:pPr>
      <w:r>
        <w:rPr>
          <w:sz w:val="21"/>
        </w:rPr>
        <w:t>☑  Drift de modelo grave (caso INC-2026-001 reproduzido) → rollback automático + triagem manual</w:t>
      </w:r>
    </w:p>
    <w:p>
      <w:pPr>
        <w:pStyle w:val="ListBullet"/>
        <w:ind w:left="283"/>
      </w:pPr>
      <w:r>
        <w:rPr>
          <w:sz w:val="21"/>
        </w:rPr>
        <w:t>☑  Indisponibilidade de pessoal-chave (AI Officer + DPO simultaneamente) → backups designados</w:t>
      </w:r>
    </w:p>
    <w:p>
      <w:pPr>
        <w:pStyle w:val="ListBullet"/>
        <w:ind w:left="283"/>
      </w:pPr>
      <w:r>
        <w:rPr>
          <w:sz w:val="21"/>
        </w:rPr>
        <w:t>☑  Mudança regulatória disruptiva (ex.: Art. 5 alargado afetando sistema atual) → suspensão imediata + reavaliação</w:t>
      </w:r>
    </w:p>
    <w:p>
      <w:pPr>
        <w:pStyle w:val="Heading1"/>
      </w:pPr>
      <w:r>
        <w:rPr>
          <w:color w:val="0F172A"/>
        </w:rPr>
        <w:t>▌ 4. Equipa de continuidade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Função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Titular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Substituto</w:t>
            </w:r>
          </w:p>
        </w:tc>
      </w:tr>
      <w:tr>
        <w:tc>
          <w:tcPr>
            <w:tcW w:type="dxa" w:w="3135"/>
          </w:tcPr>
          <w:p>
            <w:r>
              <w:t>Comandante BCP</w:t>
            </w:r>
          </w:p>
        </w:tc>
        <w:tc>
          <w:tcPr>
            <w:tcW w:type="dxa" w:w="3135"/>
          </w:tcPr>
          <w:p>
            <w:r>
              <w:t>Maria Silva</w:t>
            </w:r>
          </w:p>
        </w:tc>
        <w:tc>
          <w:tcPr>
            <w:tcW w:type="dxa" w:w="3135"/>
          </w:tcPr>
          <w:p>
            <w:r>
              <w:t>João Santos</w:t>
            </w:r>
          </w:p>
        </w:tc>
      </w:tr>
      <w:tr>
        <w:tc>
          <w:tcPr>
            <w:tcW w:type="dxa" w:w="3135"/>
          </w:tcPr>
          <w:p>
            <w:r>
              <w:t>Operacional clínico</w:t>
            </w:r>
          </w:p>
        </w:tc>
        <w:tc>
          <w:tcPr>
            <w:tcW w:type="dxa" w:w="3135"/>
          </w:tcPr>
          <w:p>
            <w:r>
              <w:t>Dr.ª Sofia Mendes</w:t>
            </w:r>
          </w:p>
        </w:tc>
        <w:tc>
          <w:tcPr>
            <w:tcW w:type="dxa" w:w="3135"/>
          </w:tcPr>
          <w:p>
            <w:r>
              <w:t>Dr. Bruno Faria (Diretor Clínico)</w:t>
            </w:r>
          </w:p>
        </w:tc>
      </w:tr>
      <w:tr>
        <w:tc>
          <w:tcPr>
            <w:tcW w:type="dxa" w:w="3135"/>
          </w:tcPr>
          <w:p>
            <w:r>
              <w:t>Operacional técnico</w:t>
            </w:r>
          </w:p>
        </w:tc>
        <w:tc>
          <w:tcPr>
            <w:tcW w:type="dxa" w:w="3135"/>
          </w:tcPr>
          <w:p>
            <w:r>
              <w:t>Eng. Carlos Marques</w:t>
            </w:r>
          </w:p>
        </w:tc>
        <w:tc>
          <w:tcPr>
            <w:tcW w:type="dxa" w:w="3135"/>
          </w:tcPr>
          <w:p>
            <w:r>
              <w:t>Eng. Maria Tavares (Tech Lead)</w:t>
            </w:r>
          </w:p>
        </w:tc>
      </w:tr>
      <w:tr>
        <w:tc>
          <w:tcPr>
            <w:tcW w:type="dxa" w:w="3135"/>
          </w:tcPr>
          <w:p>
            <w:r>
              <w:t>Comunicação</w:t>
            </w:r>
          </w:p>
        </w:tc>
        <w:tc>
          <w:tcPr>
            <w:tcW w:type="dxa" w:w="3135"/>
          </w:tcPr>
          <w:p>
            <w:r>
              <w:t>Dr. Rui Pereira</w:t>
            </w:r>
          </w:p>
        </w:tc>
        <w:tc>
          <w:tcPr>
            <w:tcW w:type="dxa" w:w="3135"/>
          </w:tcPr>
          <w:p>
            <w:r>
              <w:t>Carla Sousa (Comunicação)</w:t>
            </w:r>
          </w:p>
        </w:tc>
      </w:tr>
      <w:tr>
        <w:tc>
          <w:tcPr>
            <w:tcW w:type="dxa" w:w="3135"/>
          </w:tcPr>
          <w:p>
            <w:r>
              <w:t>Privacidade</w:t>
            </w:r>
          </w:p>
        </w:tc>
        <w:tc>
          <w:tcPr>
            <w:tcW w:type="dxa" w:w="3135"/>
          </w:tcPr>
          <w:p>
            <w:r>
              <w:t>João Santos</w:t>
            </w:r>
          </w:p>
        </w:tc>
        <w:tc>
          <w:tcPr>
            <w:tcW w:type="dxa" w:w="3135"/>
          </w:tcPr>
          <w:p>
            <w:r>
              <w:t>Carla Sousa (Compliance)</w:t>
            </w:r>
          </w:p>
        </w:tc>
      </w:tr>
      <w:tr>
        <w:tc>
          <w:tcPr>
            <w:tcW w:type="dxa" w:w="3135"/>
          </w:tcPr>
          <w:p>
            <w:r>
              <w:t>Segurança</w:t>
            </w:r>
          </w:p>
        </w:tc>
        <w:tc>
          <w:tcPr>
            <w:tcW w:type="dxa" w:w="3135"/>
          </w:tcPr>
          <w:p>
            <w:r>
              <w:t>Ana Costa</w:t>
            </w:r>
          </w:p>
        </w:tc>
        <w:tc>
          <w:tcPr>
            <w:tcW w:type="dxa" w:w="3135"/>
          </w:tcPr>
          <w:p>
            <w:r>
              <w:t>Pedro Lopes (SOC Lead)</w:t>
            </w:r>
          </w:p>
        </w:tc>
      </w:tr>
    </w:tbl>
    <w:p>
      <w:pPr>
        <w:pStyle w:val="Heading1"/>
      </w:pPr>
      <w:r>
        <w:rPr>
          <w:color w:val="0F172A"/>
        </w:rPr>
        <w:t>▌ 5. Procedimentos por cenário</w:t>
      </w:r>
    </w:p>
    <w:p>
      <w:r>
        <w:rPr>
          <w:b/>
          <w:sz w:val="22"/>
        </w:rPr>
        <w:t>5.1. Falha do MedTriage (cenário com maior impacto):</w:t>
      </w:r>
    </w:p>
    <w:p>
      <w:pPr>
        <w:pStyle w:val="ListBullet"/>
        <w:ind w:left="283"/>
      </w:pPr>
      <w:r>
        <w:rPr>
          <w:sz w:val="21"/>
        </w:rPr>
        <w:t>☑  T+0: deteção automática (monitorização Art. 72) → SOC notifica IC</w:t>
      </w:r>
    </w:p>
    <w:p>
      <w:pPr>
        <w:pStyle w:val="ListBullet"/>
        <w:ind w:left="283"/>
      </w:pPr>
      <w:r>
        <w:rPr>
          <w:sz w:val="21"/>
        </w:rPr>
        <w:t>☑  T+5min: rollback v3.1.4 (versão estável); se falhar → modo degradado MTS papel</w:t>
      </w:r>
    </w:p>
    <w:p>
      <w:pPr>
        <w:pStyle w:val="ListBullet"/>
        <w:ind w:left="283"/>
      </w:pPr>
      <w:r>
        <w:rPr>
          <w:sz w:val="21"/>
        </w:rPr>
        <w:t>☑  T+15min: comunicação a 12 hospitais via canal dedicado (Slack #medtriage-alerts)</w:t>
      </w:r>
    </w:p>
    <w:p>
      <w:pPr>
        <w:pStyle w:val="ListBullet"/>
        <w:ind w:left="283"/>
      </w:pPr>
      <w:r>
        <w:rPr>
          <w:sz w:val="21"/>
        </w:rPr>
        <w:t>☑  T+30min: AI Officer convocada + Comité IA em call</w:t>
      </w:r>
    </w:p>
    <w:p>
      <w:pPr>
        <w:pStyle w:val="ListBullet"/>
        <w:ind w:left="283"/>
      </w:pPr>
      <w:r>
        <w:rPr>
          <w:sz w:val="21"/>
        </w:rPr>
        <w:t>☑  T+1h: avaliação Art. 73 (dano potencial?) - decisão "go/no-go" notificação</w:t>
      </w:r>
    </w:p>
    <w:p>
      <w:pPr>
        <w:pStyle w:val="ListBullet"/>
        <w:ind w:left="283"/>
      </w:pPr>
      <w:r>
        <w:rPr>
          <w:sz w:val="21"/>
        </w:rPr>
        <w:t>☑  T+4h: comunicação ao Ministério da Saúde se SNS afetado</w:t>
      </w:r>
    </w:p>
    <w:p>
      <w:pPr>
        <w:pStyle w:val="ListBullet"/>
        <w:ind w:left="283"/>
      </w:pPr>
      <w:r>
        <w:rPr>
          <w:sz w:val="21"/>
        </w:rPr>
        <w:t>☑  T+24h: relatório intermédio + RCA em curso</w:t>
      </w:r>
    </w:p>
    <w:p>
      <w:pPr>
        <w:pStyle w:val="ListBullet"/>
        <w:ind w:left="283"/>
      </w:pPr>
      <w:r>
        <w:rPr>
          <w:sz w:val="21"/>
        </w:rPr>
        <w:t>☑  T+30d: relatório final + lições aprendidas + atualização BCP</w:t>
      </w:r>
    </w:p>
    <w:p>
      <w:pPr>
        <w:pStyle w:val="Heading1"/>
      </w:pPr>
      <w:r>
        <w:rPr>
          <w:color w:val="0F172A"/>
        </w:rPr>
        <w:t>▌ 6. Recursos de continuidade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Backup MedTriage</w:t>
            </w:r>
          </w:p>
        </w:tc>
        <w:tc>
          <w:tcPr>
            <w:tcW w:type="dxa" w:w="6236"/>
          </w:tcPr>
          <w:p>
            <w:r>
              <w:t>Versão v3.1.4 mantida em hot standby (falha-ready em &lt;60s)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Backup datacenter</w:t>
            </w:r>
          </w:p>
        </w:tc>
        <w:tc>
          <w:tcPr>
            <w:tcW w:type="dxa" w:w="6236"/>
          </w:tcPr>
          <w:p>
            <w:r>
              <w:t>AWS Frankfurt (ativo); AWS Irlanda (cold standby, RTO 1h)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Backup pessoal</w:t>
            </w:r>
          </w:p>
        </w:tc>
        <w:tc>
          <w:tcPr>
            <w:tcW w:type="dxa" w:w="6236"/>
          </w:tcPr>
          <w:p>
            <w:r>
              <w:t>Cada papel BCP tem backup designado; lista atualizada trimestralmente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Procedimentos manuais</w:t>
            </w:r>
          </w:p>
        </w:tc>
        <w:tc>
          <w:tcPr>
            <w:tcW w:type="dxa" w:w="6236"/>
          </w:tcPr>
          <w:p>
            <w:r>
              <w:t>Manual MTS papel disponível em cada sala de triagem; supervisores treinados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Comunicação fallback</w:t>
            </w:r>
          </w:p>
        </w:tc>
        <w:tc>
          <w:tcPr>
            <w:tcW w:type="dxa" w:w="6236"/>
          </w:tcPr>
          <w:p>
            <w:r>
              <w:t>WhatsApp groups para cada hospital + telefone direto de cada Diretor Clínico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Custos cobertos</w:t>
            </w:r>
          </w:p>
        </w:tc>
        <w:tc>
          <w:tcPr>
            <w:tcW w:type="dxa" w:w="6236"/>
          </w:tcPr>
          <w:p>
            <w:r>
              <w:t>Apólice seguro Allianz 2026-AS-117 cobre €5M em interrupção de negócio + responsabilidade</w:t>
            </w:r>
          </w:p>
        </w:tc>
      </w:tr>
    </w:tbl>
    <w:p>
      <w:pPr>
        <w:pStyle w:val="Heading1"/>
      </w:pPr>
      <w:r>
        <w:rPr>
          <w:color w:val="0F172A"/>
        </w:rPr>
        <w:t>▌ 7. Testes de continuidade (drills)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ID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Cenário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Resultado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Observador</w:t>
            </w:r>
          </w:p>
        </w:tc>
      </w:tr>
      <w:tr>
        <w:tc>
          <w:tcPr>
            <w:tcW w:type="dxa" w:w="1881"/>
          </w:tcPr>
          <w:p>
            <w:r>
              <w:t>BCP-DRILL-2026-Q1</w:t>
            </w:r>
          </w:p>
        </w:tc>
        <w:tc>
          <w:tcPr>
            <w:tcW w:type="dxa" w:w="1881"/>
          </w:tcPr>
          <w:p>
            <w:r>
              <w:t>2026-02-12</w:t>
            </w:r>
          </w:p>
        </w:tc>
        <w:tc>
          <w:tcPr>
            <w:tcW w:type="dxa" w:w="1881"/>
          </w:tcPr>
          <w:p>
            <w:r>
              <w:t>Cenário: viés HR-Match</w:t>
            </w:r>
          </w:p>
        </w:tc>
        <w:tc>
          <w:tcPr>
            <w:tcW w:type="dxa" w:w="1881"/>
          </w:tcPr>
          <w:p>
            <w:r>
              <w:t>Sucesso (RTO 45min vs alvo 4h)</w:t>
            </w:r>
          </w:p>
        </w:tc>
        <w:tc>
          <w:tcPr>
            <w:tcW w:type="dxa" w:w="1881"/>
          </w:tcPr>
          <w:p>
            <w:r>
              <w:t>Carla Sousa</w:t>
            </w:r>
          </w:p>
        </w:tc>
      </w:tr>
      <w:tr>
        <w:tc>
          <w:tcPr>
            <w:tcW w:type="dxa" w:w="1881"/>
          </w:tcPr>
          <w:p>
            <w:r>
              <w:t>BCP-DRILL-2025-Q4</w:t>
            </w:r>
          </w:p>
        </w:tc>
        <w:tc>
          <w:tcPr>
            <w:tcW w:type="dxa" w:w="1881"/>
          </w:tcPr>
          <w:p>
            <w:r>
              <w:t>2025-11-20</w:t>
            </w:r>
          </w:p>
        </w:tc>
        <w:tc>
          <w:tcPr>
            <w:tcW w:type="dxa" w:w="1881"/>
          </w:tcPr>
          <w:p>
            <w:r>
              <w:t>Cenário: AWS region down</w:t>
            </w:r>
          </w:p>
        </w:tc>
        <w:tc>
          <w:tcPr>
            <w:tcW w:type="dxa" w:w="1881"/>
          </w:tcPr>
          <w:p>
            <w:r>
              <w:t>Sucesso parcial (failover 3min, mas alertas DNS demoraram)</w:t>
            </w:r>
          </w:p>
        </w:tc>
        <w:tc>
          <w:tcPr>
            <w:tcW w:type="dxa" w:w="1881"/>
          </w:tcPr>
          <w:p>
            <w:r>
              <w:t>Ana Costa</w:t>
            </w:r>
          </w:p>
        </w:tc>
      </w:tr>
      <w:tr>
        <w:tc>
          <w:tcPr>
            <w:tcW w:type="dxa" w:w="1881"/>
          </w:tcPr>
          <w:p>
            <w:r>
              <w:t>BCP-DRILL-2025-Q3</w:t>
            </w:r>
          </w:p>
        </w:tc>
        <w:tc>
          <w:tcPr>
            <w:tcW w:type="dxa" w:w="1881"/>
          </w:tcPr>
          <w:p>
            <w:r>
              <w:t>2025-08-10</w:t>
            </w:r>
          </w:p>
        </w:tc>
        <w:tc>
          <w:tcPr>
            <w:tcW w:type="dxa" w:w="1881"/>
          </w:tcPr>
          <w:p>
            <w:r>
              <w:t>Cenário: ransomware</w:t>
            </w:r>
          </w:p>
        </w:tc>
        <w:tc>
          <w:tcPr>
            <w:tcW w:type="dxa" w:w="1881"/>
          </w:tcPr>
          <w:p>
            <w:r>
              <w:t>Sucesso completo</w:t>
            </w:r>
          </w:p>
        </w:tc>
        <w:tc>
          <w:tcPr>
            <w:tcW w:type="dxa" w:w="1881"/>
          </w:tcPr>
          <w:p>
            <w:r>
              <w:t>Ana Costa</w:t>
            </w:r>
          </w:p>
        </w:tc>
      </w:tr>
    </w:tbl>
    <w:p>
      <w:r>
        <w:rPr>
          <w:i/>
          <w:sz w:val="19"/>
        </w:rPr>
        <w:t>Próximo drill: 2026-Q3 (cenário a definir pelo Comité IA).</w:t>
      </w:r>
    </w:p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