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0"/>
      </w:pPr>
    </w:p>
    <w:p>
      <w:pPr>
        <w:spacing w:after="400"/>
        <w:jc w:val="center"/>
      </w:pPr>
      <w:r>
        <w:rPr>
          <w:rFonts w:ascii="Calibri" w:hAnsi="Calibri"/>
          <w:b/>
          <w:color w:val="0891B2"/>
          <w:sz w:val="20"/>
        </w:rPr>
        <w:t>AI ACT PORTUGAL  ·  TEMPLATE PROFISSIONAL</w:t>
      </w:r>
    </w:p>
    <w:p>
      <w:pPr>
        <w:spacing w:after="800"/>
        <w:jc w:val="center"/>
      </w:pPr>
      <w:r>
        <w:rPr>
          <w:rFonts w:ascii="Calibri" w:hAnsi="Calibri"/>
          <w:i/>
          <w:color w:val="5C6B7A"/>
          <w:sz w:val="22"/>
        </w:rPr>
        <w:t>[Nome da organização]</w:t>
      </w:r>
    </w:p>
    <w:p>
      <w:pPr>
        <w:spacing w:after="300"/>
        <w:jc w:val="center"/>
      </w:pPr>
      <w:r>
        <w:rPr>
          <w:rFonts w:ascii="Calibri" w:hAnsi="Calibri"/>
          <w:b/>
          <w:color w:val="0F172A"/>
          <w:sz w:val="56"/>
        </w:rPr>
        <w:t>Plano de Recuperação de Desastres (DRP) IA</w:t>
      </w:r>
    </w:p>
    <w:p>
      <w:pPr>
        <w:jc w:val="center"/>
      </w:pPr>
      <w:r>
        <w:rPr>
          <w:rFonts w:ascii="Calibri" w:hAnsi="Calibri"/>
          <w:color w:val="374151"/>
          <w:sz w:val="26"/>
        </w:rPr>
        <w:t>DRP-IA-001 v1.0 - Recuperação técnica após interrupção major</w:t>
      </w:r>
    </w:p>
    <w:p>
      <w:pPr>
        <w:spacing w:after="1600" w:before="160"/>
        <w:jc w:val="center"/>
      </w:pPr>
      <w:r>
        <w:rPr>
          <w:rFonts w:ascii="Calibri" w:hAnsi="Calibri"/>
          <w:b/>
          <w:color w:val="EA580C"/>
          <w:sz w:val="22"/>
        </w:rPr>
        <w:t>Boa prática + Art. 15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Versão: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1.0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Data de publicação: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Maio de 2026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Autor: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AI Act Portugal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Publicação: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aiact-portugal.pt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Base legal: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Regulamento (UE) 2024/1689</w:t>
            </w:r>
          </w:p>
        </w:tc>
      </w:tr>
    </w:tbl>
    <w:p>
      <w:pPr>
        <w:spacing w:after="1400"/>
      </w:pPr>
    </w:p>
    <w:p>
      <w:pPr>
        <w:jc w:val="center"/>
      </w:pPr>
      <w:r>
        <w:rPr>
          <w:rFonts w:ascii="Calibri" w:hAnsi="Calibri"/>
          <w:i/>
          <w:color w:val="5C6B7A"/>
          <w:sz w:val="18"/>
        </w:rPr>
        <w:t>Modelo gratuito disponibilizado por</w:t>
      </w:r>
    </w:p>
    <w:p>
      <w:pPr>
        <w:jc w:val="center"/>
      </w:pPr>
      <w:r>
        <w:rPr>
          <w:rFonts w:ascii="Calibri" w:hAnsi="Calibri"/>
          <w:b/>
          <w:color w:val="0891B2"/>
          <w:sz w:val="24"/>
        </w:rPr>
        <w:t>https://aiact-portugal.pt</w:t>
      </w:r>
    </w:p>
    <w:p>
      <w:pPr>
        <w:jc w:val="center"/>
      </w:pPr>
      <w:r>
        <w:rPr>
          <w:rFonts w:ascii="Calibri" w:hAnsi="Calibri"/>
          <w:i/>
          <w:color w:val="5C6B7A"/>
          <w:sz w:val="18"/>
        </w:rPr>
        <w:t>Conformidade com o Regulamento (UE) 2024/1689 (AI Act)</w:t>
      </w:r>
    </w:p>
    <w:p>
      <w:r>
        <w:br w:type="page"/>
      </w:r>
    </w:p>
    <w:p>
      <w:pPr>
        <w:pStyle w:val="Heading1"/>
      </w:pPr>
      <w:r>
        <w:rPr>
          <w:color w:val="0F172A"/>
        </w:rPr>
        <w:t>Sobre esta template</w:t>
      </w:r>
    </w:p>
    <w:p>
      <w:r>
        <w:rPr>
          <w:sz w:val="22"/>
        </w:rPr>
        <w:t>Esta template foi criada pela equipa AI Act Portugal para apoiar organizações em Portugal a implementar boas práticas de conformidade com o Regulamento (UE) 2024/1689 (AI Act). Está pré-preenchida com exemplos reais de uma organização ficcional consistente (TechMed Solutions, S.A.) para que possa ver como cada secção é esperada - basta substituir pelos dados da sua organização.</w:t>
      </w:r>
    </w:p>
    <w:p>
      <w:r>
        <w:rPr>
          <w:sz w:val="22"/>
        </w:rPr>
        <w:t>Para adaptar à sua organização: substitua os dados de exemplo pelos dados reais; ajuste as secções conforme a maturidade, dimensão e setor; remova ou expanda blocos opcionais; valide com o seu AI Officer, DPO e aconselhamento jurídico antes de utilização operacional ou submissão a autoridade competente.</w:t>
      </w:r>
    </w:p>
    <w:p>
      <w:pPr>
        <w:pStyle w:val="Heading1"/>
      </w:pPr>
      <w:r>
        <w:rPr>
          <w:color w:val="0F172A"/>
        </w:rPr>
        <w:t>Sobre AI Act Portugal</w:t>
      </w:r>
    </w:p>
    <w:p>
      <w:r>
        <w:rPr>
          <w:sz w:val="22"/>
        </w:rPr>
        <w:t>AI Act Portugal é uma plataforma informativa independente sobre o Regulamento (UE) 2024/1689 (AI Act) com foco em organizações portuguesas. Disponibiliza conteúdo jurídico-técnico atualizado, ferramentas interativas (classificador de risco, calculadora de custos, auditoria, dashboard, roadmap) e modelos profissionais alinhados com as obrigações regulatórias e com a coordenação da ANACOM.</w:t>
      </w:r>
    </w:p>
    <w:p>
      <w:r>
        <w:rPr>
          <w:b/>
          <w:sz w:val="21"/>
        </w:rPr>
        <w:t xml:space="preserve">Plataforma: </w:t>
      </w:r>
      <w:r>
        <w:rPr>
          <w:color w:val="0891B2"/>
          <w:sz w:val="21"/>
        </w:rPr>
        <w:t>https://aiact-portugal.pt</w:t>
      </w:r>
      <w:r>
        <w:rPr>
          <w:b/>
          <w:sz w:val="21"/>
        </w:rPr>
        <w:t xml:space="preserve">   ·   Contactos: </w:t>
      </w:r>
      <w:r>
        <w:rPr>
          <w:color w:val="0891B2"/>
          <w:sz w:val="21"/>
        </w:rPr>
        <w:t>aiact-portugal.pt/pages/contactos.html</w:t>
      </w:r>
    </w:p>
    <w:p>
      <w:r>
        <w:rPr>
          <w:i/>
          <w:color w:val="5C6B7A"/>
          <w:sz w:val="18"/>
        </w:rPr>
        <w:t>Aviso: este modelo não substitui aconselhamento jurídico profissional. Os exemplos pré-preenchidos referem-se a uma organização ficcional e devem ser adaptados à realidade específica da sua organização.</w:t>
      </w:r>
    </w:p>
    <w:p>
      <w:r>
        <w:br w:type="page"/>
      </w:r>
    </w:p>
    <w:p>
      <w:pPr>
        <w:pStyle w:val="Title"/>
      </w:pPr>
      <w:r>
        <w:rPr>
          <w:color w:val="0F172A"/>
          <w:sz w:val="44"/>
        </w:rPr>
        <w:t>Plano de Recuperação de Desastres (DRP) IA</w:t>
      </w:r>
    </w:p>
    <w:p>
      <w:r>
        <w:rPr>
          <w:i/>
          <w:color w:val="5C6B7A"/>
          <w:sz w:val="19"/>
        </w:rPr>
        <w:t>[Logo da organização]</w:t>
      </w:r>
    </w:p>
    <w:p>
      <w:r>
        <w:rPr>
          <w:b/>
          <w:color w:val="0F172A"/>
          <w:sz w:val="22"/>
        </w:rPr>
        <w:t>[Nome da organização]</w:t>
      </w:r>
    </w:p>
    <w:p>
      <w:r>
        <w:rPr>
          <w:i/>
          <w:color w:val="5C6B7A"/>
          <w:sz w:val="18"/>
        </w:rPr>
        <w:t>Preparado com apoio de AI Act Portugal - aiact-portugal.pt</w:t>
      </w:r>
    </w:p>
    <w:p>
      <w:pPr>
        <w:pBdr>
          <w:bottom w:val="single" w:sz="12" w:space="1" w:color="0891B2"/>
        </w:pBdr>
      </w:pPr>
    </w:p>
    <w:p>
      <w:r>
        <w:rPr>
          <w:b/>
          <w:i/>
          <w:color w:val="EA580C"/>
          <w:sz w:val="19"/>
        </w:rPr>
        <w:t>💡  EXEMPLO PRÉ-PREENCHIDO: Plano técnico complementar ao BCP. Foco em recuperação de infraestrutura e dados.</w:t>
      </w:r>
    </w:p>
    <w:p>
      <w:pPr>
        <w:pStyle w:val="Heading1"/>
      </w:pPr>
      <w:r>
        <w:rPr>
          <w:color w:val="0F172A"/>
        </w:rPr>
        <w:t>▌ 1. Objetivo</w:t>
      </w:r>
    </w:p>
    <w:p>
      <w:r>
        <w:rPr>
          <w:sz w:val="22"/>
        </w:rPr>
        <w:t>Definir os procedimentos técnicos de recuperação de sistemas IA, dados, modelos e logs após um desastre que afete a infraestrutura primária.</w:t>
      </w:r>
    </w:p>
    <w:p>
      <w:pPr>
        <w:pStyle w:val="Heading1"/>
      </w:pPr>
      <w:r>
        <w:rPr>
          <w:color w:val="0F172A"/>
        </w:rPr>
        <w:t>▌ 2. Inventário de ativos críticos a recuperar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Ativo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Volume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Localização backup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RTO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RPO</w:t>
            </w:r>
          </w:p>
        </w:tc>
      </w:tr>
      <w:tr>
        <w:tc>
          <w:tcPr>
            <w:tcW w:type="dxa" w:w="1881"/>
          </w:tcPr>
          <w:p>
            <w:r>
              <w:t>Modelos em produção</w:t>
            </w:r>
          </w:p>
        </w:tc>
        <w:tc>
          <w:tcPr>
            <w:tcW w:type="dxa" w:w="1881"/>
          </w:tcPr>
          <w:p>
            <w:r>
              <w:t>MedTriage v3.2.1, HR-Match v1.0.4, CodeAssist v1.0</w:t>
            </w:r>
          </w:p>
        </w:tc>
        <w:tc>
          <w:tcPr>
            <w:tcW w:type="dxa" w:w="1881"/>
          </w:tcPr>
          <w:p>
            <w:r>
              <w:t>Hot replica AWS Frankfurt + cold S3 Glacier</w:t>
            </w:r>
          </w:p>
        </w:tc>
        <w:tc>
          <w:tcPr>
            <w:tcW w:type="dxa" w:w="1881"/>
          </w:tcPr>
          <w:p>
            <w:r>
              <w:t>&lt;5 min</w:t>
            </w:r>
          </w:p>
        </w:tc>
        <w:tc>
          <w:tcPr>
            <w:tcW w:type="dxa" w:w="1881"/>
          </w:tcPr>
          <w:p>
            <w:r>
              <w:t>0</w:t>
            </w:r>
          </w:p>
        </w:tc>
      </w:tr>
      <w:tr>
        <w:tc>
          <w:tcPr>
            <w:tcW w:type="dxa" w:w="1881"/>
          </w:tcPr>
          <w:p>
            <w:r>
              <w:t>Pesos dos modelos (10 anos)</w:t>
            </w:r>
          </w:p>
        </w:tc>
        <w:tc>
          <w:tcPr>
            <w:tcW w:type="dxa" w:w="1881"/>
          </w:tcPr>
          <w:p>
            <w:r>
              <w:t>~120 GB total</w:t>
            </w:r>
          </w:p>
        </w:tc>
        <w:tc>
          <w:tcPr>
            <w:tcW w:type="dxa" w:w="1881"/>
          </w:tcPr>
          <w:p>
            <w:r>
              <w:t>S3 Glacier Deep Archive (Irlanda + Frankfurt)</w:t>
            </w:r>
          </w:p>
        </w:tc>
        <w:tc>
          <w:tcPr>
            <w:tcW w:type="dxa" w:w="1881"/>
          </w:tcPr>
          <w:p>
            <w:r>
              <w:t>&lt;12h</w:t>
            </w:r>
          </w:p>
        </w:tc>
        <w:tc>
          <w:tcPr>
            <w:tcW w:type="dxa" w:w="1881"/>
          </w:tcPr>
          <w:p>
            <w:r>
              <w:t>&lt;1 dia</w:t>
            </w:r>
          </w:p>
        </w:tc>
      </w:tr>
      <w:tr>
        <w:tc>
          <w:tcPr>
            <w:tcW w:type="dxa" w:w="1881"/>
          </w:tcPr>
          <w:p>
            <w:r>
              <w:t>Datasets de treino</w:t>
            </w:r>
          </w:p>
        </w:tc>
        <w:tc>
          <w:tcPr>
            <w:tcW w:type="dxa" w:w="1881"/>
          </w:tcPr>
          <w:p>
            <w:r>
              <w:t>~500 GB pseudonimizados</w:t>
            </w:r>
          </w:p>
        </w:tc>
        <w:tc>
          <w:tcPr>
            <w:tcW w:type="dxa" w:w="1881"/>
          </w:tcPr>
          <w:p>
            <w:r>
              <w:t>S3 Glacier (10 anos)</w:t>
            </w:r>
          </w:p>
        </w:tc>
        <w:tc>
          <w:tcPr>
            <w:tcW w:type="dxa" w:w="1881"/>
          </w:tcPr>
          <w:p>
            <w:r>
              <w:t>&lt;24h</w:t>
            </w:r>
          </w:p>
        </w:tc>
        <w:tc>
          <w:tcPr>
            <w:tcW w:type="dxa" w:w="1881"/>
          </w:tcPr>
          <w:p>
            <w:r>
              <w:t>&lt;1 dia</w:t>
            </w:r>
          </w:p>
        </w:tc>
      </w:tr>
      <w:tr>
        <w:tc>
          <w:tcPr>
            <w:tcW w:type="dxa" w:w="1881"/>
          </w:tcPr>
          <w:p>
            <w:r>
              <w:t>Logs Art. 12</w:t>
            </w:r>
          </w:p>
        </w:tc>
        <w:tc>
          <w:tcPr>
            <w:tcW w:type="dxa" w:w="1881"/>
          </w:tcPr>
          <w:p>
            <w:r>
              <w:t>~5 TB (10 anos)</w:t>
            </w:r>
          </w:p>
        </w:tc>
        <w:tc>
          <w:tcPr>
            <w:tcW w:type="dxa" w:w="1881"/>
          </w:tcPr>
          <w:p>
            <w:r>
              <w:t>S3 Glacier WORM (replica 2 regiões UE)</w:t>
            </w:r>
          </w:p>
        </w:tc>
        <w:tc>
          <w:tcPr>
            <w:tcW w:type="dxa" w:w="1881"/>
          </w:tcPr>
          <w:p>
            <w:r>
              <w:t>&lt;48h</w:t>
            </w:r>
          </w:p>
        </w:tc>
        <w:tc>
          <w:tcPr>
            <w:tcW w:type="dxa" w:w="1881"/>
          </w:tcPr>
          <w:p>
            <w:r>
              <w:t>0 (WORM imutável)</w:t>
            </w:r>
          </w:p>
        </w:tc>
      </w:tr>
      <w:tr>
        <w:tc>
          <w:tcPr>
            <w:tcW w:type="dxa" w:w="1881"/>
          </w:tcPr>
          <w:p>
            <w:r>
              <w:t>Documentação Anexo IV</w:t>
            </w:r>
          </w:p>
        </w:tc>
        <w:tc>
          <w:tcPr>
            <w:tcW w:type="dxa" w:w="1881"/>
          </w:tcPr>
          <w:p>
            <w:r>
              <w:t>~2 GB</w:t>
            </w:r>
          </w:p>
        </w:tc>
        <w:tc>
          <w:tcPr>
            <w:tcW w:type="dxa" w:w="1881"/>
          </w:tcPr>
          <w:p>
            <w:r>
              <w:t>DMS Confluence + Git + S3 backup</w:t>
            </w:r>
          </w:p>
        </w:tc>
        <w:tc>
          <w:tcPr>
            <w:tcW w:type="dxa" w:w="1881"/>
          </w:tcPr>
          <w:p>
            <w:r>
              <w:t>&lt;1h</w:t>
            </w:r>
          </w:p>
        </w:tc>
        <w:tc>
          <w:tcPr>
            <w:tcW w:type="dxa" w:w="1881"/>
          </w:tcPr>
          <w:p>
            <w:r>
              <w:t>&lt;1 hora</w:t>
            </w:r>
          </w:p>
        </w:tc>
      </w:tr>
      <w:tr>
        <w:tc>
          <w:tcPr>
            <w:tcW w:type="dxa" w:w="1881"/>
          </w:tcPr>
          <w:p>
            <w:r>
              <w:t>Bases dados clínicas (anonimizadas)</w:t>
            </w:r>
          </w:p>
        </w:tc>
        <w:tc>
          <w:tcPr>
            <w:tcW w:type="dxa" w:w="1881"/>
          </w:tcPr>
          <w:p>
            <w:r>
              <w:t>~80 GB</w:t>
            </w:r>
          </w:p>
        </w:tc>
        <w:tc>
          <w:tcPr>
            <w:tcW w:type="dxa" w:w="1881"/>
          </w:tcPr>
          <w:p>
            <w:r>
              <w:t>PostgreSQL replica + backup diário S3</w:t>
            </w:r>
          </w:p>
        </w:tc>
        <w:tc>
          <w:tcPr>
            <w:tcW w:type="dxa" w:w="1881"/>
          </w:tcPr>
          <w:p>
            <w:r>
              <w:t>&lt;1h</w:t>
            </w:r>
          </w:p>
        </w:tc>
        <w:tc>
          <w:tcPr>
            <w:tcW w:type="dxa" w:w="1881"/>
          </w:tcPr>
          <w:p>
            <w:r>
              <w:t>&lt;24h</w:t>
            </w:r>
          </w:p>
        </w:tc>
      </w:tr>
    </w:tbl>
    <w:p>
      <w:pPr>
        <w:pStyle w:val="Heading1"/>
      </w:pPr>
      <w:r>
        <w:rPr>
          <w:color w:val="0F172A"/>
        </w:rPr>
        <w:t>▌ 3. Estratégia de backup</w:t>
      </w:r>
    </w:p>
    <w:p>
      <w:pPr>
        <w:pStyle w:val="ListBullet"/>
        <w:ind w:left="283"/>
      </w:pPr>
      <w:r>
        <w:rPr>
          <w:sz w:val="21"/>
        </w:rPr>
        <w:t>☑  Backup 3-2-1: 3 cópias (produção + 2 backups), 2 mídias (SSD + S3), 1 off-site (Frankfurt)</w:t>
      </w:r>
    </w:p>
    <w:p>
      <w:pPr>
        <w:pStyle w:val="ListBullet"/>
        <w:ind w:left="283"/>
      </w:pPr>
      <w:r>
        <w:rPr>
          <w:sz w:val="21"/>
        </w:rPr>
        <w:t>☑  Encriptação AES-256 em repouso + TLS 1.3 em trânsito</w:t>
      </w:r>
    </w:p>
    <w:p>
      <w:pPr>
        <w:pStyle w:val="ListBullet"/>
        <w:ind w:left="283"/>
      </w:pPr>
      <w:r>
        <w:rPr>
          <w:sz w:val="21"/>
        </w:rPr>
        <w:t>☑  Verificação de integridade (SHA-256) diária - qualquer divergência alerta CISO</w:t>
      </w:r>
    </w:p>
    <w:p>
      <w:pPr>
        <w:pStyle w:val="ListBullet"/>
        <w:ind w:left="283"/>
      </w:pPr>
      <w:r>
        <w:rPr>
          <w:sz w:val="21"/>
        </w:rPr>
        <w:t>☑  Testes de restauração mensais - 1 ativo aleatório/mês</w:t>
      </w:r>
    </w:p>
    <w:p>
      <w:pPr>
        <w:pStyle w:val="ListBullet"/>
        <w:ind w:left="283"/>
      </w:pPr>
      <w:r>
        <w:rPr>
          <w:sz w:val="21"/>
        </w:rPr>
        <w:t>☑  Imutabilidade WORM nos logs (Art. 12) - não pode ser alterado por 10 anos</w:t>
      </w:r>
    </w:p>
    <w:p>
      <w:pPr>
        <w:pStyle w:val="ListBullet"/>
        <w:ind w:left="283"/>
      </w:pPr>
      <w:r>
        <w:rPr>
          <w:sz w:val="21"/>
        </w:rPr>
        <w:t>☑  Retention policy: hot 90d / warm 1a / cold 10a (logs) / 5a (datasets HR)</w:t>
      </w:r>
    </w:p>
    <w:p>
      <w:pPr>
        <w:pStyle w:val="Heading1"/>
      </w:pPr>
      <w:r>
        <w:rPr>
          <w:color w:val="0F172A"/>
        </w:rPr>
        <w:t>▌ 4. Procedimentos de recuperação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#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Etapa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Responsável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SLA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Output</w:t>
            </w:r>
          </w:p>
        </w:tc>
      </w:tr>
      <w:tr>
        <w:tc>
          <w:tcPr>
            <w:tcW w:type="dxa" w:w="1881"/>
          </w:tcPr>
          <w:p>
            <w:r>
              <w:t>1</w:t>
            </w:r>
          </w:p>
        </w:tc>
        <w:tc>
          <w:tcPr>
            <w:tcW w:type="dxa" w:w="1881"/>
          </w:tcPr>
          <w:p>
            <w:r>
              <w:t>Avaliação inicial</w:t>
            </w:r>
          </w:p>
        </w:tc>
        <w:tc>
          <w:tcPr>
            <w:tcW w:type="dxa" w:w="1881"/>
          </w:tcPr>
          <w:p>
            <w:r>
              <w:t>CISO + Cloud Eng</w:t>
            </w:r>
          </w:p>
        </w:tc>
        <w:tc>
          <w:tcPr>
            <w:tcW w:type="dxa" w:w="1881"/>
          </w:tcPr>
          <w:p>
            <w:r>
              <w:t>30 min</w:t>
            </w:r>
          </w:p>
        </w:tc>
        <w:tc>
          <w:tcPr>
            <w:tcW w:type="dxa" w:w="1881"/>
          </w:tcPr>
          <w:p>
            <w:r>
              <w:t>Determinar âmbito do desastre</w:t>
            </w:r>
          </w:p>
        </w:tc>
      </w:tr>
      <w:tr>
        <w:tc>
          <w:tcPr>
            <w:tcW w:type="dxa" w:w="1881"/>
          </w:tcPr>
          <w:p>
            <w:r>
              <w:t>2</w:t>
            </w:r>
          </w:p>
        </w:tc>
        <w:tc>
          <w:tcPr>
            <w:tcW w:type="dxa" w:w="1881"/>
          </w:tcPr>
          <w:p>
            <w:r>
              <w:t>Acionar DR site</w:t>
            </w:r>
          </w:p>
        </w:tc>
        <w:tc>
          <w:tcPr>
            <w:tcW w:type="dxa" w:w="1881"/>
          </w:tcPr>
          <w:p>
            <w:r>
              <w:t>Cloud Eng</w:t>
            </w:r>
          </w:p>
        </w:tc>
        <w:tc>
          <w:tcPr>
            <w:tcW w:type="dxa" w:w="1881"/>
          </w:tcPr>
          <w:p>
            <w:r>
              <w:t>5 min</w:t>
            </w:r>
          </w:p>
        </w:tc>
        <w:tc>
          <w:tcPr>
            <w:tcW w:type="dxa" w:w="1881"/>
          </w:tcPr>
          <w:p>
            <w:r>
              <w:t>DNS failover → AWS Frankfurt; serviços ativos</w:t>
            </w:r>
          </w:p>
        </w:tc>
      </w:tr>
      <w:tr>
        <w:tc>
          <w:tcPr>
            <w:tcW w:type="dxa" w:w="1881"/>
          </w:tcPr>
          <w:p>
            <w:r>
              <w:t>3</w:t>
            </w:r>
          </w:p>
        </w:tc>
        <w:tc>
          <w:tcPr>
            <w:tcW w:type="dxa" w:w="1881"/>
          </w:tcPr>
          <w:p>
            <w:r>
              <w:t>Restaurar bases dados</w:t>
            </w:r>
          </w:p>
        </w:tc>
        <w:tc>
          <w:tcPr>
            <w:tcW w:type="dxa" w:w="1881"/>
          </w:tcPr>
          <w:p>
            <w:r>
              <w:t>DBA + DPO</w:t>
            </w:r>
          </w:p>
        </w:tc>
        <w:tc>
          <w:tcPr>
            <w:tcW w:type="dxa" w:w="1881"/>
          </w:tcPr>
          <w:p>
            <w:r>
              <w:t>&lt;1h</w:t>
            </w:r>
          </w:p>
        </w:tc>
        <w:tc>
          <w:tcPr>
            <w:tcW w:type="dxa" w:w="1881"/>
          </w:tcPr>
          <w:p>
            <w:r>
              <w:t>PostgreSQL replica promote; verificar integridade</w:t>
            </w:r>
          </w:p>
        </w:tc>
      </w:tr>
      <w:tr>
        <w:tc>
          <w:tcPr>
            <w:tcW w:type="dxa" w:w="1881"/>
          </w:tcPr>
          <w:p>
            <w:r>
              <w:t>4</w:t>
            </w:r>
          </w:p>
        </w:tc>
        <w:tc>
          <w:tcPr>
            <w:tcW w:type="dxa" w:w="1881"/>
          </w:tcPr>
          <w:p>
            <w:r>
              <w:t>Restaurar modelos</w:t>
            </w:r>
          </w:p>
        </w:tc>
        <w:tc>
          <w:tcPr>
            <w:tcW w:type="dxa" w:w="1881"/>
          </w:tcPr>
          <w:p>
            <w:r>
              <w:t>ML Engineer</w:t>
            </w:r>
          </w:p>
        </w:tc>
        <w:tc>
          <w:tcPr>
            <w:tcW w:type="dxa" w:w="1881"/>
          </w:tcPr>
          <w:p>
            <w:r>
              <w:t>&lt;5min</w:t>
            </w:r>
          </w:p>
        </w:tc>
        <w:tc>
          <w:tcPr>
            <w:tcW w:type="dxa" w:w="1881"/>
          </w:tcPr>
          <w:p>
            <w:r>
              <w:t>Modelos hot - já em produção via canary</w:t>
            </w:r>
          </w:p>
        </w:tc>
      </w:tr>
      <w:tr>
        <w:tc>
          <w:tcPr>
            <w:tcW w:type="dxa" w:w="1881"/>
          </w:tcPr>
          <w:p>
            <w:r>
              <w:t>5</w:t>
            </w:r>
          </w:p>
        </w:tc>
        <w:tc>
          <w:tcPr>
            <w:tcW w:type="dxa" w:w="1881"/>
          </w:tcPr>
          <w:p>
            <w:r>
              <w:t>Validar conformidade</w:t>
            </w:r>
          </w:p>
        </w:tc>
        <w:tc>
          <w:tcPr>
            <w:tcW w:type="dxa" w:w="1881"/>
          </w:tcPr>
          <w:p>
            <w:r>
              <w:t>AI Officer</w:t>
            </w:r>
          </w:p>
        </w:tc>
        <w:tc>
          <w:tcPr>
            <w:tcW w:type="dxa" w:w="1881"/>
          </w:tcPr>
          <w:p>
            <w:r>
              <w:t>2h</w:t>
            </w:r>
          </w:p>
        </w:tc>
        <w:tc>
          <w:tcPr>
            <w:tcW w:type="dxa" w:w="1881"/>
          </w:tcPr>
          <w:p>
            <w:r>
              <w:t>Smoke tests + viés audit + monitorização</w:t>
            </w:r>
          </w:p>
        </w:tc>
      </w:tr>
      <w:tr>
        <w:tc>
          <w:tcPr>
            <w:tcW w:type="dxa" w:w="1881"/>
          </w:tcPr>
          <w:p>
            <w:r>
              <w:t>6</w:t>
            </w:r>
          </w:p>
        </w:tc>
        <w:tc>
          <w:tcPr>
            <w:tcW w:type="dxa" w:w="1881"/>
          </w:tcPr>
          <w:p>
            <w:r>
              <w:t>Comunicar restauração</w:t>
            </w:r>
          </w:p>
        </w:tc>
        <w:tc>
          <w:tcPr>
            <w:tcW w:type="dxa" w:w="1881"/>
          </w:tcPr>
          <w:p>
            <w:r>
              <w:t>Comunicação</w:t>
            </w:r>
          </w:p>
        </w:tc>
        <w:tc>
          <w:tcPr>
            <w:tcW w:type="dxa" w:w="1881"/>
          </w:tcPr>
          <w:p>
            <w:r>
              <w:t>15 min</w:t>
            </w:r>
          </w:p>
        </w:tc>
        <w:tc>
          <w:tcPr>
            <w:tcW w:type="dxa" w:w="1881"/>
          </w:tcPr>
          <w:p>
            <w:r>
              <w:t>Stakeholders, hospitais, autoridades se notificadas</w:t>
            </w:r>
          </w:p>
        </w:tc>
      </w:tr>
      <w:tr>
        <w:tc>
          <w:tcPr>
            <w:tcW w:type="dxa" w:w="1881"/>
          </w:tcPr>
          <w:p>
            <w:r>
              <w:t>7</w:t>
            </w:r>
          </w:p>
        </w:tc>
        <w:tc>
          <w:tcPr>
            <w:tcW w:type="dxa" w:w="1881"/>
          </w:tcPr>
          <w:p>
            <w:r>
              <w:t>RCA e relatório final</w:t>
            </w:r>
          </w:p>
        </w:tc>
        <w:tc>
          <w:tcPr>
            <w:tcW w:type="dxa" w:w="1881"/>
          </w:tcPr>
          <w:p>
            <w:r>
              <w:t>IC + Comité IA</w:t>
            </w:r>
          </w:p>
        </w:tc>
        <w:tc>
          <w:tcPr>
            <w:tcW w:type="dxa" w:w="1881"/>
          </w:tcPr>
          <w:p>
            <w:r>
              <w:t>30 dias</w:t>
            </w:r>
          </w:p>
        </w:tc>
        <w:tc>
          <w:tcPr>
            <w:tcW w:type="dxa" w:w="1881"/>
          </w:tcPr>
          <w:p>
            <w:r>
              <w:t>Lições aprendidas + atualização DRP</w:t>
            </w:r>
          </w:p>
        </w:tc>
      </w:tr>
    </w:tbl>
    <w:p>
      <w:pPr>
        <w:pStyle w:val="Heading1"/>
      </w:pPr>
      <w:r>
        <w:rPr>
          <w:color w:val="0F172A"/>
        </w:rPr>
        <w:t>▌ 5. Métricas DR (verificadas em cada drill)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Métrica</w:t>
            </w:r>
          </w:p>
        </w:tc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Alvo</w:t>
            </w:r>
          </w:p>
        </w:tc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Atual</w:t>
            </w:r>
          </w:p>
        </w:tc>
        <w:tc>
          <w:tcPr>
            <w:tcW w:type="dxa" w:w="2351"/>
            <w:shd w:val="clear" w:color="auto" w:fill="0F172A"/>
          </w:tcPr>
          <w:p>
            <w:r>
              <w:rPr>
                <w:b/>
                <w:color w:val="FFFFFF"/>
              </w:rPr>
              <w:t>Estado</w:t>
            </w:r>
          </w:p>
        </w:tc>
      </w:tr>
      <w:tr>
        <w:tc>
          <w:tcPr>
            <w:tcW w:type="dxa" w:w="2351"/>
          </w:tcPr>
          <w:p>
            <w:r>
              <w:t>MTTR (Mean Time To Recover) MedTriage</w:t>
            </w:r>
          </w:p>
        </w:tc>
        <w:tc>
          <w:tcPr>
            <w:tcW w:type="dxa" w:w="2351"/>
          </w:tcPr>
          <w:p>
            <w:r>
              <w:t>&lt; 15 min</w:t>
            </w:r>
          </w:p>
        </w:tc>
        <w:tc>
          <w:tcPr>
            <w:tcW w:type="dxa" w:w="2351"/>
          </w:tcPr>
          <w:p>
            <w:r>
              <w:t>11 min (drill Q1 2026)</w:t>
            </w:r>
          </w:p>
        </w:tc>
        <w:tc>
          <w:tcPr>
            <w:tcW w:type="dxa" w:w="2351"/>
          </w:tcPr>
          <w:p>
            <w:r>
              <w:t>OK</w:t>
            </w:r>
          </w:p>
        </w:tc>
      </w:tr>
      <w:tr>
        <w:tc>
          <w:tcPr>
            <w:tcW w:type="dxa" w:w="2351"/>
          </w:tcPr>
          <w:p>
            <w:r>
              <w:t>Data loss (RPO) bases dados clínicas</w:t>
            </w:r>
          </w:p>
        </w:tc>
        <w:tc>
          <w:tcPr>
            <w:tcW w:type="dxa" w:w="2351"/>
          </w:tcPr>
          <w:p>
            <w:r>
              <w:t>&lt; 24h</w:t>
            </w:r>
          </w:p>
        </w:tc>
        <w:tc>
          <w:tcPr>
            <w:tcW w:type="dxa" w:w="2351"/>
          </w:tcPr>
          <w:p>
            <w:r>
              <w:t>&lt;1h verificado</w:t>
            </w:r>
          </w:p>
        </w:tc>
        <w:tc>
          <w:tcPr>
            <w:tcW w:type="dxa" w:w="2351"/>
          </w:tcPr>
          <w:p>
            <w:r>
              <w:t>OK</w:t>
            </w:r>
          </w:p>
        </w:tc>
      </w:tr>
      <w:tr>
        <w:tc>
          <w:tcPr>
            <w:tcW w:type="dxa" w:w="2351"/>
          </w:tcPr>
          <w:p>
            <w:r>
              <w:t>Backup verification success rate</w:t>
            </w:r>
          </w:p>
        </w:tc>
        <w:tc>
          <w:tcPr>
            <w:tcW w:type="dxa" w:w="2351"/>
          </w:tcPr>
          <w:p>
            <w:r>
              <w:t>100%</w:t>
            </w:r>
          </w:p>
        </w:tc>
        <w:tc>
          <w:tcPr>
            <w:tcW w:type="dxa" w:w="2351"/>
          </w:tcPr>
          <w:p>
            <w:r>
              <w:t>100% (12/12 últimos meses)</w:t>
            </w:r>
          </w:p>
        </w:tc>
        <w:tc>
          <w:tcPr>
            <w:tcW w:type="dxa" w:w="2351"/>
          </w:tcPr>
          <w:p>
            <w:r>
              <w:t>OK</w:t>
            </w:r>
          </w:p>
        </w:tc>
      </w:tr>
      <w:tr>
        <w:tc>
          <w:tcPr>
            <w:tcW w:type="dxa" w:w="2351"/>
          </w:tcPr>
          <w:p>
            <w:r>
              <w:t>Time to detect failover</w:t>
            </w:r>
          </w:p>
        </w:tc>
        <w:tc>
          <w:tcPr>
            <w:tcW w:type="dxa" w:w="2351"/>
          </w:tcPr>
          <w:p>
            <w:r>
              <w:t>&lt; 1 min</w:t>
            </w:r>
          </w:p>
        </w:tc>
        <w:tc>
          <w:tcPr>
            <w:tcW w:type="dxa" w:w="2351"/>
          </w:tcPr>
          <w:p>
            <w:r>
              <w:t>23s</w:t>
            </w:r>
          </w:p>
        </w:tc>
        <w:tc>
          <w:tcPr>
            <w:tcW w:type="dxa" w:w="2351"/>
          </w:tcPr>
          <w:p>
            <w:r>
              <w:t>OK</w:t>
            </w:r>
          </w:p>
        </w:tc>
      </w:tr>
      <w:tr>
        <w:tc>
          <w:tcPr>
            <w:tcW w:type="dxa" w:w="2351"/>
          </w:tcPr>
          <w:p>
            <w:r>
              <w:t>False positive rate em alertas</w:t>
            </w:r>
          </w:p>
        </w:tc>
        <w:tc>
          <w:tcPr>
            <w:tcW w:type="dxa" w:w="2351"/>
          </w:tcPr>
          <w:p>
            <w:r>
              <w:t>&lt; 5%</w:t>
            </w:r>
          </w:p>
        </w:tc>
        <w:tc>
          <w:tcPr>
            <w:tcW w:type="dxa" w:w="2351"/>
          </w:tcPr>
          <w:p>
            <w:r>
              <w:t>2%</w:t>
            </w:r>
          </w:p>
        </w:tc>
        <w:tc>
          <w:tcPr>
            <w:tcW w:type="dxa" w:w="2351"/>
          </w:tcPr>
          <w:p>
            <w:r>
              <w:t>OK</w:t>
            </w:r>
          </w:p>
        </w:tc>
      </w:tr>
    </w:tbl>
    <w:p/>
    <w:p>
      <w:pPr>
        <w:jc w:val="center"/>
      </w:pPr>
      <w:r>
        <w:rPr>
          <w:i/>
          <w:color w:val="5C6B7A"/>
          <w:sz w:val="16"/>
        </w:rPr>
        <w:t>Este modelo foi gerado por AI Act Portugal (https://aiact-portugal.pt) como guia indicativo de conformidade com o Regulamento (UE) 2024/1689. Os exemplos pré-preenchidos referem-se a uma organização ficcional (TechMed Solutions, S.A.) - adapte os campos à realidade da sua organização. Não substitui aconselhamento jurídico.</w:t>
      </w:r>
    </w:p>
    <w:p>
      <w:r>
        <w:br w:type="page"/>
      </w:r>
    </w:p>
    <w:p>
      <w:pPr>
        <w:pStyle w:val="Heading2"/>
      </w:pPr>
      <w:r>
        <w:rPr>
          <w:rFonts w:ascii="Calibri" w:hAnsi="Calibri"/>
          <w:color w:val="0F172A"/>
        </w:rPr>
        <w:t>Histórico de revisões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Versão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Data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Autor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Resumo das alterações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Aprovado por</w:t>
            </w:r>
          </w:p>
        </w:tc>
      </w:tr>
      <w:tr>
        <w:tc>
          <w:tcPr>
            <w:tcW w:type="dxa" w:w="1881"/>
          </w:tcPr>
          <w:p>
            <w:r>
              <w:t>1.0</w:t>
            </w:r>
          </w:p>
        </w:tc>
        <w:tc>
          <w:tcPr>
            <w:tcW w:type="dxa" w:w="1881"/>
          </w:tcPr>
          <w:p>
            <w:r>
              <w:t>2026-04-15</w:t>
            </w:r>
          </w:p>
        </w:tc>
        <w:tc>
          <w:tcPr>
            <w:tcW w:type="dxa" w:w="1881"/>
          </w:tcPr>
          <w:p>
            <w:r>
              <w:t>AI Officer</w:t>
            </w:r>
          </w:p>
        </w:tc>
        <w:tc>
          <w:tcPr>
            <w:tcW w:type="dxa" w:w="1881"/>
          </w:tcPr>
          <w:p>
            <w:r>
              <w:t>Versão inicial</w:t>
            </w:r>
          </w:p>
        </w:tc>
        <w:tc>
          <w:tcPr>
            <w:tcW w:type="dxa" w:w="1881"/>
          </w:tcPr>
          <w:p>
            <w:r>
              <w:t>CEO + Comité IA</w:t>
            </w:r>
          </w:p>
        </w:tc>
      </w:tr>
      <w:tr>
        <w:tc>
          <w:tcPr>
            <w:tcW w:type="dxa" w:w="1881"/>
          </w:tcPr>
          <w:p>
            <w:r>
              <w:t>1.1</w:t>
            </w:r>
          </w:p>
        </w:tc>
        <w:tc>
          <w:tcPr>
            <w:tcW w:type="dxa" w:w="1881"/>
          </w:tcPr>
          <w:p>
            <w:r>
              <w:t>__/__/______</w:t>
            </w:r>
          </w:p>
        </w:tc>
        <w:tc>
          <w:tcPr>
            <w:tcW w:type="dxa" w:w="1881"/>
          </w:tcPr>
          <w:p>
            <w:r>
              <w:t>________________</w:t>
            </w:r>
          </w:p>
        </w:tc>
        <w:tc>
          <w:tcPr>
            <w:tcW w:type="dxa" w:w="1881"/>
          </w:tcPr>
          <w:p>
            <w:r>
              <w:t>________________</w:t>
            </w:r>
          </w:p>
        </w:tc>
        <w:tc>
          <w:tcPr>
            <w:tcW w:type="dxa" w:w="1881"/>
          </w:tcPr>
          <w:p>
            <w:r>
              <w:t>________________</w:t>
            </w:r>
          </w:p>
        </w:tc>
      </w:tr>
      <w:tr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</w:tr>
    </w:tbl>
    <w:p>
      <w:r>
        <w:rPr>
          <w:i/>
          <w:color w:val="5C6B7A"/>
          <w:sz w:val="18"/>
        </w:rPr>
        <w:t>Cada alteração material a este documento deve gerar nova versão e ser aprovada pelas pessoas designadas. Conserve histórico durante 10 anos (Art. 11(2) para sistemas de alto risco).</w:t>
      </w:r>
    </w:p>
    <w:p/>
    <w:p>
      <w:pPr>
        <w:pStyle w:val="Heading2"/>
      </w:pPr>
      <w:r>
        <w:rPr>
          <w:rFonts w:ascii="Calibri" w:hAnsi="Calibri"/>
          <w:color w:val="0F172A"/>
        </w:rPr>
        <w:t>Aprovações</w:t>
      </w:r>
    </w:p>
    <w:p>
      <w:r>
        <w:rPr>
          <w:sz w:val="21"/>
        </w:rPr>
        <w:t>Este documento foi revisto e aprovado pelas pessoas indicadas abaixo. As assinaturas atestam concordância com o conteúdo e compromisso com a sua aplicação na organização.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0F172A"/>
          </w:tcPr>
          <w:p>
            <w:r>
              <w:rPr>
                <w:b/>
                <w:color w:val="FFFFFF"/>
              </w:rPr>
              <w:t>Papel</w:t>
            </w:r>
          </w:p>
        </w:tc>
        <w:tc>
          <w:tcPr>
            <w:tcW w:type="dxa" w:w="3135"/>
            <w:shd w:val="clear" w:color="auto" w:fill="0F172A"/>
          </w:tcPr>
          <w:p>
            <w:r>
              <w:rPr>
                <w:b/>
                <w:color w:val="FFFFFF"/>
              </w:rPr>
              <w:t>Nome e cargo</w:t>
            </w:r>
          </w:p>
        </w:tc>
        <w:tc>
          <w:tcPr>
            <w:tcW w:type="dxa" w:w="3135"/>
            <w:shd w:val="clear" w:color="auto" w:fill="0F172A"/>
          </w:tcPr>
          <w:p>
            <w:r>
              <w:rPr>
                <w:b/>
                <w:color w:val="FFFFFF"/>
              </w:rPr>
              <w:t>Assinatura e data</w:t>
            </w:r>
          </w:p>
        </w:tc>
      </w:tr>
      <w:tr>
        <w:tc>
          <w:tcPr>
            <w:tcW w:type="dxa" w:w="3135"/>
          </w:tcPr>
          <w:p>
            <w:r>
              <w:t>Elaborado por</w:t>
            </w:r>
          </w:p>
        </w:tc>
        <w:tc>
          <w:tcPr>
            <w:tcW w:type="dxa" w:w="3135"/>
          </w:tcPr>
          <w:p>
            <w:r>
              <w:t>[Nome] · AI Officer</w:t>
            </w:r>
          </w:p>
        </w:tc>
        <w:tc>
          <w:tcPr>
            <w:tcW w:type="dxa" w:w="3135"/>
          </w:tcPr>
          <w:p>
            <w:r>
              <w:t>_______________________________  /  __/__/______</w:t>
            </w:r>
          </w:p>
        </w:tc>
      </w:tr>
      <w:tr>
        <w:tc>
          <w:tcPr>
            <w:tcW w:type="dxa" w:w="3135"/>
          </w:tcPr>
          <w:p>
            <w:r>
              <w:t>Revisto por</w:t>
            </w:r>
          </w:p>
        </w:tc>
        <w:tc>
          <w:tcPr>
            <w:tcW w:type="dxa" w:w="3135"/>
          </w:tcPr>
          <w:p>
            <w:r>
              <w:t>[Nome] · DPO + CISO + Compliance</w:t>
            </w:r>
          </w:p>
        </w:tc>
        <w:tc>
          <w:tcPr>
            <w:tcW w:type="dxa" w:w="3135"/>
          </w:tcPr>
          <w:p>
            <w:r>
              <w:t>_______________________________  /  __/__/______</w:t>
            </w:r>
          </w:p>
        </w:tc>
      </w:tr>
      <w:tr>
        <w:tc>
          <w:tcPr>
            <w:tcW w:type="dxa" w:w="3135"/>
          </w:tcPr>
          <w:p>
            <w:r>
              <w:t>Aprovado por</w:t>
            </w:r>
          </w:p>
        </w:tc>
        <w:tc>
          <w:tcPr>
            <w:tcW w:type="dxa" w:w="3135"/>
          </w:tcPr>
          <w:p>
            <w:r>
              <w:t>[Nome] · CEO</w:t>
            </w:r>
          </w:p>
        </w:tc>
        <w:tc>
          <w:tcPr>
            <w:tcW w:type="dxa" w:w="3135"/>
          </w:tcPr>
          <w:p>
            <w:r>
              <w:t>_______________________________  /  __/__/______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247" w:right="1417" w:bottom="1247" w:left="1417" w:header="680" w:footer="68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  <w:pBdr>
        <w:top w:val="single" w:sz="6" w:space="1" w:color="0891B2"/>
      </w:pBdr>
    </w:pPr>
    <w:r>
      <w:rPr>
        <w:rFonts w:ascii="Calibri" w:hAnsi="Calibri"/>
        <w:color w:val="5C6B7A"/>
        <w:sz w:val="17"/>
      </w:rPr>
      <w:t xml:space="preserve">Confidencial  |  Página </w:t>
    </w:r>
    <w:r>
      <w:rPr>
        <w:rFonts w:ascii="Calibri" w:hAnsi="Calibri"/>
        <w:color w:val="5C6B7A"/>
        <w:sz w:val="17"/>
      </w:rPr>
      <w:fldChar w:fldCharType="begin"/>
      <w:instrText>PAGE</w:instrText>
      <w:fldChar w:fldCharType="end"/>
    </w:r>
    <w:r>
      <w:rPr>
        <w:rFonts w:ascii="Calibri" w:hAnsi="Calibri"/>
        <w:color w:val="5C6B7A"/>
        <w:sz w:val="17"/>
      </w:rPr>
      <w:t xml:space="preserve"> de </w:t>
    </w:r>
    <w:r>
      <w:rPr>
        <w:rFonts w:ascii="Calibri" w:hAnsi="Calibri"/>
        <w:color w:val="5C6B7A"/>
        <w:sz w:val="17"/>
      </w:rPr>
      <w:fldChar w:fldCharType="begin"/>
      <w:instrText>NUMPAGES</w:instrText>
      <w:fldChar w:fldCharType="end"/>
    </w:r>
    <w:r>
      <w:rPr>
        <w:rFonts w:ascii="Calibri" w:hAnsi="Calibri"/>
        <w:color w:val="5C6B7A"/>
        <w:sz w:val="17"/>
      </w:rPr>
      <w:t xml:space="preserve">  ·  AI Act Portugal · Reg. (UE) 2024/1689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pBdr>
        <w:bottom w:val="single" w:sz="6" w:space="1" w:color="0F172A"/>
      </w:pBdr>
    </w:pPr>
    <w:r>
      <w:rPr>
        <w:rFonts w:ascii="Calibri" w:hAnsi="Calibri"/>
        <w:i/>
        <w:color w:val="5C6B7A"/>
        <w:sz w:val="17"/>
      </w:rPr>
      <w:t>AI Act Portugal  ·  Modelo Profissional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jc w:val="both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