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0"/>
      </w:pPr>
    </w:p>
    <w:p>
      <w:pPr>
        <w:spacing w:after="400"/>
        <w:jc w:val="center"/>
      </w:pPr>
      <w:r>
        <w:rPr>
          <w:rFonts w:ascii="Calibri" w:hAnsi="Calibri"/>
          <w:b/>
          <w:color w:val="0891B2"/>
          <w:sz w:val="20"/>
        </w:rPr>
        <w:t>AI ACT PORTUGAL  ·  TEMPLATE PROFISSIONAL</w:t>
      </w:r>
    </w:p>
    <w:p>
      <w:pPr>
        <w:spacing w:after="800"/>
        <w:jc w:val="center"/>
      </w:pPr>
      <w:r>
        <w:rPr>
          <w:rFonts w:ascii="Calibri" w:hAnsi="Calibri"/>
          <w:i/>
          <w:color w:val="5C6B7A"/>
          <w:sz w:val="22"/>
        </w:rPr>
        <w:t>[Nome da organização]</w:t>
      </w:r>
    </w:p>
    <w:p>
      <w:pPr>
        <w:spacing w:after="300"/>
        <w:jc w:val="center"/>
      </w:pPr>
      <w:r>
        <w:rPr>
          <w:rFonts w:ascii="Calibri" w:hAnsi="Calibri"/>
          <w:b/>
          <w:color w:val="0F172A"/>
          <w:sz w:val="56"/>
        </w:rPr>
        <w:t>AI Project Charter - Sistema IA novo</w:t>
      </w:r>
    </w:p>
    <w:p>
      <w:pPr>
        <w:jc w:val="center"/>
      </w:pPr>
      <w:r>
        <w:rPr>
          <w:rFonts w:ascii="Calibri" w:hAnsi="Calibri"/>
          <w:color w:val="374151"/>
          <w:sz w:val="26"/>
        </w:rPr>
        <w:t>Charter inicial para qualquer novo sistema IA antes de desenvolvimento</w:t>
      </w:r>
    </w:p>
    <w:p>
      <w:pPr>
        <w:spacing w:after="1600" w:before="160"/>
        <w:jc w:val="center"/>
      </w:pPr>
      <w:r>
        <w:rPr>
          <w:rFonts w:ascii="Calibri" w:hAnsi="Calibri"/>
          <w:b/>
          <w:color w:val="EA580C"/>
          <w:sz w:val="22"/>
        </w:rPr>
        <w:t>Boa prática + Art. 6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Versão: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1.0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Data de 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Maio de 2026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Autor: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 Act Portugal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aiact-portugal.pt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Base legal: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Regulamento (UE) 2024/1689</w:t>
            </w:r>
          </w:p>
        </w:tc>
      </w:tr>
    </w:tbl>
    <w:p>
      <w:pPr>
        <w:spacing w:after="1400"/>
      </w:pP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Modelo gratuito disponibilizado por</w:t>
      </w:r>
    </w:p>
    <w:p>
      <w:pPr>
        <w:jc w:val="center"/>
      </w:pPr>
      <w:r>
        <w:rPr>
          <w:rFonts w:ascii="Calibri" w:hAnsi="Calibri"/>
          <w:b/>
          <w:color w:val="0891B2"/>
          <w:sz w:val="24"/>
        </w:rPr>
        <w:t>https://aiact-portugal.pt</w:t>
      </w: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Conformidade com o Regulamento (UE) 2024/1689 (AI Act)</w:t>
      </w:r>
    </w:p>
    <w:p>
      <w:r>
        <w:br w:type="page"/>
      </w:r>
    </w:p>
    <w:p>
      <w:pPr>
        <w:pStyle w:val="Heading1"/>
      </w:pPr>
      <w:r>
        <w:rPr>
          <w:color w:val="0F172A"/>
        </w:rPr>
        <w:t>Sobre esta template</w:t>
      </w:r>
    </w:p>
    <w:p>
      <w:r>
        <w:rPr>
          <w:sz w:val="22"/>
        </w:rPr>
        <w:t>Esta template foi criada pela equipa AI Act Portugal para apoiar organizações em Portugal a implementar boas práticas de conformidade com o Regulamento (UE) 2024/1689 (AI Act). Está pré-preenchida com exemplos reais de uma organização ficcional consistente (TechMed Solutions, S.A.) para que possa ver como cada secção é esperada - basta substituir pelos dados da sua organização.</w:t>
      </w:r>
    </w:p>
    <w:p>
      <w:r>
        <w:rPr>
          <w:sz w:val="22"/>
        </w:rPr>
        <w:t>Para adaptar à sua organização: substitua os dados de exemplo pelos dados reais; ajuste as secções conforme a maturidade, dimensão e setor; remova ou expanda blocos opcionais; valide com o seu AI Officer, DPO e aconselhamento jurídico antes de utilização operacional ou submissão a autoridade competente.</w:t>
      </w:r>
    </w:p>
    <w:p>
      <w:pPr>
        <w:pStyle w:val="Heading1"/>
      </w:pPr>
      <w:r>
        <w:rPr>
          <w:color w:val="0F172A"/>
        </w:rPr>
        <w:t>Sobre AI Act Portugal</w:t>
      </w:r>
    </w:p>
    <w:p>
      <w:r>
        <w:rPr>
          <w:sz w:val="22"/>
        </w:rPr>
        <w:t>AI Act Portugal é uma plataforma informativa independente sobre o Regulamento (UE) 2024/1689 (AI Act) com foco em organizações portuguesas. Disponibiliza conteúdo jurídico-técnico atualizado, ferramentas interativas (classificador de risco, calculadora de custos, auditoria, dashboard, roadmap) e modelos profissionais alinhados com as obrigações regulatórias e com a coordenação da ANACOM.</w:t>
      </w:r>
    </w:p>
    <w:p>
      <w:r>
        <w:rPr>
          <w:b/>
          <w:sz w:val="21"/>
        </w:rPr>
        <w:t xml:space="preserve">Plataforma: </w:t>
      </w:r>
      <w:r>
        <w:rPr>
          <w:color w:val="0891B2"/>
          <w:sz w:val="21"/>
        </w:rPr>
        <w:t>https://aiact-portugal.pt</w:t>
      </w:r>
      <w:r>
        <w:rPr>
          <w:b/>
          <w:sz w:val="21"/>
        </w:rPr>
        <w:t xml:space="preserve">   ·   Contactos: </w:t>
      </w:r>
      <w:r>
        <w:rPr>
          <w:color w:val="0891B2"/>
          <w:sz w:val="21"/>
        </w:rPr>
        <w:t>aiact-portugal.pt/pages/contactos.html</w:t>
      </w:r>
    </w:p>
    <w:p>
      <w:r>
        <w:rPr>
          <w:i/>
          <w:color w:val="5C6B7A"/>
          <w:sz w:val="18"/>
        </w:rPr>
        <w:t>Aviso: este modelo não substitui aconselhamento jurídico profissional. Os exemplos pré-preenchidos referem-se a uma organização ficcional e devem ser adaptados à realidade específica da sua organização.</w:t>
      </w:r>
    </w:p>
    <w:p>
      <w:r>
        <w:br w:type="page"/>
      </w:r>
    </w:p>
    <w:p>
      <w:pPr>
        <w:pStyle w:val="Title"/>
      </w:pPr>
      <w:r>
        <w:rPr>
          <w:color w:val="0F172A"/>
          <w:sz w:val="44"/>
        </w:rPr>
        <w:t>AI Project Charter - Sistema IA novo</w:t>
      </w:r>
    </w:p>
    <w:p>
      <w:r>
        <w:rPr>
          <w:i/>
          <w:color w:val="5C6B7A"/>
          <w:sz w:val="19"/>
        </w:rPr>
        <w:t>[Logo da organização]</w:t>
      </w:r>
    </w:p>
    <w:p>
      <w:r>
        <w:rPr>
          <w:b/>
          <w:color w:val="0F172A"/>
          <w:sz w:val="22"/>
        </w:rPr>
        <w:t>[Nome da organização]</w:t>
      </w:r>
    </w:p>
    <w:p>
      <w:r>
        <w:rPr>
          <w:i/>
          <w:color w:val="5C6B7A"/>
          <w:sz w:val="18"/>
        </w:rPr>
        <w:t>Preparado com apoio de AI Act Portugal - aiact-portugal.pt</w:t>
      </w:r>
    </w:p>
    <w:p>
      <w:pPr>
        <w:pBdr>
          <w:bottom w:val="single" w:sz="12" w:space="1" w:color="0891B2"/>
        </w:pBdr>
      </w:pPr>
    </w:p>
    <w:p>
      <w:r>
        <w:rPr>
          <w:b/>
          <w:i/>
          <w:color w:val="EA580C"/>
          <w:sz w:val="19"/>
        </w:rPr>
        <w:t>💡  EXEMPLO PRÉ-PREENCHIDO: Charter usado para iniciar o desenvolvimento do TM-Med-7B (LLM clínico interno).</w:t>
      </w:r>
    </w:p>
    <w:p>
      <w:pPr>
        <w:pStyle w:val="Heading1"/>
      </w:pPr>
      <w:r>
        <w:rPr>
          <w:color w:val="0F172A"/>
        </w:rPr>
        <w:t>▌ 1. Identificação do projeto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Designação</w:t>
            </w:r>
          </w:p>
        </w:tc>
        <w:tc>
          <w:tcPr>
            <w:tcW w:type="dxa" w:w="6236"/>
          </w:tcPr>
          <w:p>
            <w:r>
              <w:t>TM-Med-7B (LLM clínico interno fine-tuned LLaMA 3 8B)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Sponsor</w:t>
            </w:r>
          </w:p>
        </w:tc>
        <w:tc>
          <w:tcPr>
            <w:tcW w:type="dxa" w:w="6236"/>
          </w:tcPr>
          <w:p>
            <w:r>
              <w:t>Dr. Rui Pereira (CEO)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Owner técnico</w:t>
            </w:r>
          </w:p>
        </w:tc>
        <w:tc>
          <w:tcPr>
            <w:tcW w:type="dxa" w:w="6236"/>
          </w:tcPr>
          <w:p>
            <w:r>
              <w:t>Eng. Carlos Marques (CTO)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Owner clínico</w:t>
            </w:r>
          </w:p>
        </w:tc>
        <w:tc>
          <w:tcPr>
            <w:tcW w:type="dxa" w:w="6236"/>
          </w:tcPr>
          <w:p>
            <w:r>
              <w:t>Dr.ª Sofia Mendes (Diretora Médica)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AI Officer</w:t>
            </w:r>
          </w:p>
        </w:tc>
        <w:tc>
          <w:tcPr>
            <w:tcW w:type="dxa" w:w="6236"/>
          </w:tcPr>
          <w:p>
            <w:r>
              <w:t>Maria Silva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DPO</w:t>
            </w:r>
          </w:p>
        </w:tc>
        <w:tc>
          <w:tcPr>
            <w:tcW w:type="dxa" w:w="6236"/>
          </w:tcPr>
          <w:p>
            <w:r>
              <w:t>João Santos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Data de início</w:t>
            </w:r>
          </w:p>
        </w:tc>
        <w:tc>
          <w:tcPr>
            <w:tcW w:type="dxa" w:w="6236"/>
          </w:tcPr>
          <w:p>
            <w:r>
              <w:t>2026-04-01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Data de release prevista</w:t>
            </w:r>
          </w:p>
        </w:tc>
        <w:tc>
          <w:tcPr>
            <w:tcW w:type="dxa" w:w="6236"/>
          </w:tcPr>
          <w:p>
            <w:r>
              <w:t>2026-Q3 (sandbox primeiro)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Orçamento</w:t>
            </w:r>
          </w:p>
        </w:tc>
        <w:tc>
          <w:tcPr>
            <w:tcW w:type="dxa" w:w="6236"/>
          </w:tcPr>
          <w:p>
            <w:r>
              <w:t>€280.000 (incluindo 200 GPU-hours + RH + auditoria)</w:t>
            </w:r>
          </w:p>
        </w:tc>
      </w:tr>
    </w:tbl>
    <w:p>
      <w:pPr>
        <w:pStyle w:val="Heading1"/>
      </w:pPr>
      <w:r>
        <w:rPr>
          <w:color w:val="0F172A"/>
        </w:rPr>
        <w:t>▌ 2. Justificação</w:t>
      </w:r>
    </w:p>
    <w:p>
      <w:r>
        <w:rPr>
          <w:sz w:val="22"/>
        </w:rPr>
        <w:t>A TechMed pretende oferecer um modelo GPAI especializado em medicina clínica em PT-PT, fine-tuned do LLaMA 3 8B, para apoio à geração de explicações no MedTriage e à summarização de notas clínicas. Este modelo é estratégico para reforçar soberania linguística + médica (alinhado com ANIA ponto 2.1) e reduzir dependência de modelos US (OpenAI/Anthropic) para casos de uso sensíveis.</w:t>
      </w:r>
    </w:p>
    <w:p>
      <w:pPr>
        <w:pStyle w:val="Heading1"/>
      </w:pPr>
      <w:r>
        <w:rPr>
          <w:color w:val="0F172A"/>
        </w:rPr>
        <w:t>▌ 3. Classificação preliminar AI Act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Categoria</w:t>
            </w:r>
          </w:p>
        </w:tc>
        <w:tc>
          <w:tcPr>
            <w:tcW w:type="dxa" w:w="6236"/>
          </w:tcPr>
          <w:p>
            <w:r>
              <w:t>GPAI (Art. 51-55)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Risco sistémico (&gt;10²⁵ FLOPs)?</w:t>
            </w:r>
          </w:p>
        </w:tc>
        <w:tc>
          <w:tcPr>
            <w:tcW w:type="dxa" w:w="6236"/>
          </w:tcPr>
          <w:p>
            <w:r>
              <w:t>Não - estimativa 5×10²³ FLOPs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Uso downstream em alto risco?</w:t>
            </w:r>
          </w:p>
        </w:tc>
        <w:tc>
          <w:tcPr>
            <w:tcW w:type="dxa" w:w="6236"/>
          </w:tcPr>
          <w:p>
            <w:r>
              <w:t>Sim - MedTriage (Anexo III ponto 5(b))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Aplicável?</w:t>
            </w:r>
          </w:p>
        </w:tc>
        <w:tc>
          <w:tcPr>
            <w:tcW w:type="dxa" w:w="6236"/>
          </w:tcPr>
          <w:p>
            <w:r>
              <w:t>Art. 53 (obrigações gerais GPAI) + Anexo XI (documentação técnica)</w:t>
            </w:r>
          </w:p>
        </w:tc>
      </w:tr>
    </w:tbl>
    <w:p>
      <w:pPr>
        <w:pStyle w:val="Heading1"/>
      </w:pPr>
      <w:r>
        <w:rPr>
          <w:color w:val="0F172A"/>
        </w:rPr>
        <w:t>▌ 4. Critérios de aceitação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Critério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Limiar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Como verificar</w:t>
            </w:r>
          </w:p>
        </w:tc>
      </w:tr>
      <w:tr>
        <w:tc>
          <w:tcPr>
            <w:tcW w:type="dxa" w:w="3135"/>
          </w:tcPr>
          <w:p>
            <w:r>
              <w:t>Hallucination rate</w:t>
            </w:r>
          </w:p>
        </w:tc>
        <w:tc>
          <w:tcPr>
            <w:tcW w:type="dxa" w:w="3135"/>
          </w:tcPr>
          <w:p>
            <w:r>
              <w:t>&lt; 5% em referências médicas</w:t>
            </w:r>
          </w:p>
        </w:tc>
        <w:tc>
          <w:tcPr>
            <w:tcW w:type="dxa" w:w="3135"/>
          </w:tcPr>
          <w:p>
            <w:r>
              <w:t>Testset 1000 exemplos curados</w:t>
            </w:r>
          </w:p>
        </w:tc>
      </w:tr>
      <w:tr>
        <w:tc>
          <w:tcPr>
            <w:tcW w:type="dxa" w:w="3135"/>
          </w:tcPr>
          <w:p>
            <w:r>
              <w:t>BLEU summarização clínica</w:t>
            </w:r>
          </w:p>
        </w:tc>
        <w:tc>
          <w:tcPr>
            <w:tcW w:type="dxa" w:w="3135"/>
          </w:tcPr>
          <w:p>
            <w:r>
              <w:t>&gt; 30</w:t>
            </w:r>
          </w:p>
        </w:tc>
        <w:tc>
          <w:tcPr>
            <w:tcW w:type="dxa" w:w="3135"/>
          </w:tcPr>
          <w:p>
            <w:r>
              <w:t>Testset notas reais anonimizadas</w:t>
            </w:r>
          </w:p>
        </w:tc>
      </w:tr>
      <w:tr>
        <w:tc>
          <w:tcPr>
            <w:tcW w:type="dxa" w:w="3135"/>
          </w:tcPr>
          <w:p>
            <w:r>
              <w:t>F1 ICD-10 top-5</w:t>
            </w:r>
          </w:p>
        </w:tc>
        <w:tc>
          <w:tcPr>
            <w:tcW w:type="dxa" w:w="3135"/>
          </w:tcPr>
          <w:p>
            <w:r>
              <w:t>&gt; 0.85</w:t>
            </w:r>
          </w:p>
        </w:tc>
        <w:tc>
          <w:tcPr>
            <w:tcW w:type="dxa" w:w="3135"/>
          </w:tcPr>
          <w:p>
            <w:r>
              <w:t>Testset 500 casos rotulados</w:t>
            </w:r>
          </w:p>
        </w:tc>
      </w:tr>
      <w:tr>
        <w:tc>
          <w:tcPr>
            <w:tcW w:type="dxa" w:w="3135"/>
          </w:tcPr>
          <w:p>
            <w:r>
              <w:t>Cobertura PT-PT vs PT-BR</w:t>
            </w:r>
          </w:p>
        </w:tc>
        <w:tc>
          <w:tcPr>
            <w:tcW w:type="dxa" w:w="3135"/>
          </w:tcPr>
          <w:p>
            <w:r>
              <w:t>&gt; 95% PT-PT</w:t>
            </w:r>
          </w:p>
        </w:tc>
        <w:tc>
          <w:tcPr>
            <w:tcW w:type="dxa" w:w="3135"/>
          </w:tcPr>
          <w:p>
            <w:r>
              <w:t>Auditoria linguística</w:t>
            </w:r>
          </w:p>
        </w:tc>
      </w:tr>
      <w:tr>
        <w:tc>
          <w:tcPr>
            <w:tcW w:type="dxa" w:w="3135"/>
          </w:tcPr>
          <w:p>
            <w:r>
              <w:t>PII leakage</w:t>
            </w:r>
          </w:p>
        </w:tc>
        <w:tc>
          <w:tcPr>
            <w:tcW w:type="dxa" w:w="3135"/>
          </w:tcPr>
          <w:p>
            <w:r>
              <w:t>0</w:t>
            </w:r>
          </w:p>
        </w:tc>
        <w:tc>
          <w:tcPr>
            <w:tcW w:type="dxa" w:w="3135"/>
          </w:tcPr>
          <w:p>
            <w:r>
              <w:t>Testes com prompts maliciosos</w:t>
            </w:r>
          </w:p>
        </w:tc>
      </w:tr>
      <w:tr>
        <w:tc>
          <w:tcPr>
            <w:tcW w:type="dxa" w:w="3135"/>
          </w:tcPr>
          <w:p>
            <w:r>
              <w:t>Conformidade AI Act</w:t>
            </w:r>
          </w:p>
        </w:tc>
        <w:tc>
          <w:tcPr>
            <w:tcW w:type="dxa" w:w="3135"/>
          </w:tcPr>
          <w:p>
            <w:r>
              <w:t>Documentação Anexo XI completa</w:t>
            </w:r>
          </w:p>
        </w:tc>
        <w:tc>
          <w:tcPr>
            <w:tcW w:type="dxa" w:w="3135"/>
          </w:tcPr>
          <w:p>
            <w:r>
              <w:t>Revisão AI Officer + DPO</w:t>
            </w:r>
          </w:p>
        </w:tc>
      </w:tr>
    </w:tbl>
    <w:p>
      <w:pPr>
        <w:pStyle w:val="Heading1"/>
      </w:pPr>
      <w:r>
        <w:rPr>
          <w:color w:val="0F172A"/>
        </w:rPr>
        <w:t>▌ 5. Riscos identificados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Risco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P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I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Score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Mitigação</w:t>
            </w:r>
          </w:p>
        </w:tc>
      </w:tr>
      <w:tr>
        <w:tc>
          <w:tcPr>
            <w:tcW w:type="dxa" w:w="1881"/>
          </w:tcPr>
          <w:p>
            <w:r>
              <w:t>Hallucination clínica perigosa</w:t>
            </w:r>
          </w:p>
        </w:tc>
        <w:tc>
          <w:tcPr>
            <w:tcW w:type="dxa" w:w="1881"/>
          </w:tcPr>
          <w:p>
            <w:r>
              <w:t>4</w:t>
            </w:r>
          </w:p>
        </w:tc>
        <w:tc>
          <w:tcPr>
            <w:tcW w:type="dxa" w:w="1881"/>
          </w:tcPr>
          <w:p>
            <w:r>
              <w:t>5</w:t>
            </w:r>
          </w:p>
        </w:tc>
        <w:tc>
          <w:tcPr>
            <w:tcW w:type="dxa" w:w="1881"/>
          </w:tcPr>
          <w:p>
            <w:r>
              <w:t>20</w:t>
            </w:r>
          </w:p>
        </w:tc>
        <w:tc>
          <w:tcPr>
            <w:tcW w:type="dxa" w:w="1881"/>
          </w:tcPr>
          <w:p>
            <w:r>
              <w:t>Filtros pós-geração + system prompt + revisão humana sempre obrigatória</w:t>
            </w:r>
          </w:p>
        </w:tc>
      </w:tr>
      <w:tr>
        <w:tc>
          <w:tcPr>
            <w:tcW w:type="dxa" w:w="1881"/>
          </w:tcPr>
          <w:p>
            <w:r>
              <w:t>PII leakage</w:t>
            </w:r>
          </w:p>
        </w:tc>
        <w:tc>
          <w:tcPr>
            <w:tcW w:type="dxa" w:w="1881"/>
          </w:tcPr>
          <w:p>
            <w:r>
              <w:t>3</w:t>
            </w:r>
          </w:p>
        </w:tc>
        <w:tc>
          <w:tcPr>
            <w:tcW w:type="dxa" w:w="1881"/>
          </w:tcPr>
          <w:p>
            <w:r>
              <w:t>5</w:t>
            </w:r>
          </w:p>
        </w:tc>
        <w:tc>
          <w:tcPr>
            <w:tcW w:type="dxa" w:w="1881"/>
          </w:tcPr>
          <w:p>
            <w:r>
              <w:t>15</w:t>
            </w:r>
          </w:p>
        </w:tc>
        <w:tc>
          <w:tcPr>
            <w:tcW w:type="dxa" w:w="1881"/>
          </w:tcPr>
          <w:p>
            <w:r>
              <w:t>Anonimização do dataset + filtros de output + audit trimestral</w:t>
            </w:r>
          </w:p>
        </w:tc>
      </w:tr>
      <w:tr>
        <w:tc>
          <w:tcPr>
            <w:tcW w:type="dxa" w:w="1881"/>
          </w:tcPr>
          <w:p>
            <w:r>
              <w:t>Direitos autor - uso ilegítimo de dados</w:t>
            </w:r>
          </w:p>
        </w:tc>
        <w:tc>
          <w:tcPr>
            <w:tcW w:type="dxa" w:w="1881"/>
          </w:tcPr>
          <w:p>
            <w:r>
              <w:t>2</w:t>
            </w:r>
          </w:p>
        </w:tc>
        <w:tc>
          <w:tcPr>
            <w:tcW w:type="dxa" w:w="1881"/>
          </w:tcPr>
          <w:p>
            <w:r>
              <w:t>4</w:t>
            </w:r>
          </w:p>
        </w:tc>
        <w:tc>
          <w:tcPr>
            <w:tcW w:type="dxa" w:w="1881"/>
          </w:tcPr>
          <w:p>
            <w:r>
              <w:t>8</w:t>
            </w:r>
          </w:p>
        </w:tc>
        <w:tc>
          <w:tcPr>
            <w:tcW w:type="dxa" w:w="1881"/>
          </w:tcPr>
          <w:p>
            <w:r>
              <w:t>POL-COPY-001 + listagem de fontes + opt-out honored</w:t>
            </w:r>
          </w:p>
        </w:tc>
      </w:tr>
      <w:tr>
        <w:tc>
          <w:tcPr>
            <w:tcW w:type="dxa" w:w="1881"/>
          </w:tcPr>
          <w:p>
            <w:r>
              <w:t>Não-conformidade Anexo XI</w:t>
            </w:r>
          </w:p>
        </w:tc>
        <w:tc>
          <w:tcPr>
            <w:tcW w:type="dxa" w:w="1881"/>
          </w:tcPr>
          <w:p>
            <w:r>
              <w:t>2</w:t>
            </w:r>
          </w:p>
        </w:tc>
        <w:tc>
          <w:tcPr>
            <w:tcW w:type="dxa" w:w="1881"/>
          </w:tcPr>
          <w:p>
            <w:r>
              <w:t>4</w:t>
            </w:r>
          </w:p>
        </w:tc>
        <w:tc>
          <w:tcPr>
            <w:tcW w:type="dxa" w:w="1881"/>
          </w:tcPr>
          <w:p>
            <w:r>
              <w:t>8</w:t>
            </w:r>
          </w:p>
        </w:tc>
        <w:tc>
          <w:tcPr>
            <w:tcW w:type="dxa" w:w="1881"/>
          </w:tcPr>
          <w:p>
            <w:r>
              <w:t>Documentação ao longo do desenvolvimento (não só no fim)</w:t>
            </w:r>
          </w:p>
        </w:tc>
      </w:tr>
      <w:tr>
        <w:tc>
          <w:tcPr>
            <w:tcW w:type="dxa" w:w="1881"/>
          </w:tcPr>
          <w:p>
            <w:r>
              <w:t>Custo de treino superior</w:t>
            </w:r>
          </w:p>
        </w:tc>
        <w:tc>
          <w:tcPr>
            <w:tcW w:type="dxa" w:w="1881"/>
          </w:tcPr>
          <w:p>
            <w:r>
              <w:t>3</w:t>
            </w:r>
          </w:p>
        </w:tc>
        <w:tc>
          <w:tcPr>
            <w:tcW w:type="dxa" w:w="1881"/>
          </w:tcPr>
          <w:p>
            <w:r>
              <w:t>3</w:t>
            </w:r>
          </w:p>
        </w:tc>
        <w:tc>
          <w:tcPr>
            <w:tcW w:type="dxa" w:w="1881"/>
          </w:tcPr>
          <w:p>
            <w:r>
              <w:t>9</w:t>
            </w:r>
          </w:p>
        </w:tc>
        <w:tc>
          <w:tcPr>
            <w:tcW w:type="dxa" w:w="1881"/>
          </w:tcPr>
          <w:p>
            <w:r>
              <w:t>Buffer 20% no orçamento; rollover para 2027 se necessário</w:t>
            </w:r>
          </w:p>
        </w:tc>
      </w:tr>
    </w:tbl>
    <w:p>
      <w:pPr>
        <w:pStyle w:val="Heading1"/>
      </w:pPr>
      <w:r>
        <w:rPr>
          <w:color w:val="0F172A"/>
        </w:rPr>
        <w:t>▌ 6. Equipa do projeto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Pessoa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Papel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% alocação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Responsabilidades</w:t>
            </w:r>
          </w:p>
        </w:tc>
      </w:tr>
      <w:tr>
        <w:tc>
          <w:tcPr>
            <w:tcW w:type="dxa" w:w="2351"/>
          </w:tcPr>
          <w:p>
            <w:r>
              <w:t>Carlos Marques</w:t>
            </w:r>
          </w:p>
        </w:tc>
        <w:tc>
          <w:tcPr>
            <w:tcW w:type="dxa" w:w="2351"/>
          </w:tcPr>
          <w:p>
            <w:r>
              <w:t>CTO + Líder técnico</w:t>
            </w:r>
          </w:p>
        </w:tc>
        <w:tc>
          <w:tcPr>
            <w:tcW w:type="dxa" w:w="2351"/>
          </w:tcPr>
          <w:p>
            <w:r>
              <w:t>20%</w:t>
            </w:r>
          </w:p>
        </w:tc>
        <w:tc>
          <w:tcPr>
            <w:tcW w:type="dxa" w:w="2351"/>
          </w:tcPr>
          <w:p>
            <w:r>
              <w:t>Decisões técnicas + arquitetura</w:t>
            </w:r>
          </w:p>
        </w:tc>
      </w:tr>
      <w:tr>
        <w:tc>
          <w:tcPr>
            <w:tcW w:type="dxa" w:w="2351"/>
          </w:tcPr>
          <w:p>
            <w:r>
              <w:t>Eng.ª Maria Tavares</w:t>
            </w:r>
          </w:p>
        </w:tc>
        <w:tc>
          <w:tcPr>
            <w:tcW w:type="dxa" w:w="2351"/>
          </w:tcPr>
          <w:p>
            <w:r>
              <w:t>ML Engineer Lead</w:t>
            </w:r>
          </w:p>
        </w:tc>
        <w:tc>
          <w:tcPr>
            <w:tcW w:type="dxa" w:w="2351"/>
          </w:tcPr>
          <w:p>
            <w:r>
              <w:t>80%</w:t>
            </w:r>
          </w:p>
        </w:tc>
        <w:tc>
          <w:tcPr>
            <w:tcW w:type="dxa" w:w="2351"/>
          </w:tcPr>
          <w:p>
            <w:r>
              <w:t>Implementação + treino + avaliação</w:t>
            </w:r>
          </w:p>
        </w:tc>
      </w:tr>
      <w:tr>
        <w:tc>
          <w:tcPr>
            <w:tcW w:type="dxa" w:w="2351"/>
          </w:tcPr>
          <w:p>
            <w:r>
              <w:t>Dr.ª Sofia Mendes</w:t>
            </w:r>
          </w:p>
        </w:tc>
        <w:tc>
          <w:tcPr>
            <w:tcW w:type="dxa" w:w="2351"/>
          </w:tcPr>
          <w:p>
            <w:r>
              <w:t>Owner clínica</w:t>
            </w:r>
          </w:p>
        </w:tc>
        <w:tc>
          <w:tcPr>
            <w:tcW w:type="dxa" w:w="2351"/>
          </w:tcPr>
          <w:p>
            <w:r>
              <w:t>15%</w:t>
            </w:r>
          </w:p>
        </w:tc>
        <w:tc>
          <w:tcPr>
            <w:tcW w:type="dxa" w:w="2351"/>
          </w:tcPr>
          <w:p>
            <w:r>
              <w:t>Validação clínica + golden testset</w:t>
            </w:r>
          </w:p>
        </w:tc>
      </w:tr>
      <w:tr>
        <w:tc>
          <w:tcPr>
            <w:tcW w:type="dxa" w:w="2351"/>
          </w:tcPr>
          <w:p>
            <w:r>
              <w:t>Maria Silva</w:t>
            </w:r>
          </w:p>
        </w:tc>
        <w:tc>
          <w:tcPr>
            <w:tcW w:type="dxa" w:w="2351"/>
          </w:tcPr>
          <w:p>
            <w:r>
              <w:t>AI Officer</w:t>
            </w:r>
          </w:p>
        </w:tc>
        <w:tc>
          <w:tcPr>
            <w:tcW w:type="dxa" w:w="2351"/>
          </w:tcPr>
          <w:p>
            <w:r>
              <w:t>20%</w:t>
            </w:r>
          </w:p>
        </w:tc>
        <w:tc>
          <w:tcPr>
            <w:tcW w:type="dxa" w:w="2351"/>
          </w:tcPr>
          <w:p>
            <w:r>
              <w:t>Conformidade + documentação Anexo XI</w:t>
            </w:r>
          </w:p>
        </w:tc>
      </w:tr>
      <w:tr>
        <w:tc>
          <w:tcPr>
            <w:tcW w:type="dxa" w:w="2351"/>
          </w:tcPr>
          <w:p>
            <w:r>
              <w:t>João Santos</w:t>
            </w:r>
          </w:p>
        </w:tc>
        <w:tc>
          <w:tcPr>
            <w:tcW w:type="dxa" w:w="2351"/>
          </w:tcPr>
          <w:p>
            <w:r>
              <w:t>DPO</w:t>
            </w:r>
          </w:p>
        </w:tc>
        <w:tc>
          <w:tcPr>
            <w:tcW w:type="dxa" w:w="2351"/>
          </w:tcPr>
          <w:p>
            <w:r>
              <w:t>10%</w:t>
            </w:r>
          </w:p>
        </w:tc>
        <w:tc>
          <w:tcPr>
            <w:tcW w:type="dxa" w:w="2351"/>
          </w:tcPr>
          <w:p>
            <w:r>
              <w:t>AIPD + privacidade + RGPD</w:t>
            </w:r>
          </w:p>
        </w:tc>
      </w:tr>
      <w:tr>
        <w:tc>
          <w:tcPr>
            <w:tcW w:type="dxa" w:w="2351"/>
          </w:tcPr>
          <w:p>
            <w:r>
              <w:t>Ana Costa</w:t>
            </w:r>
          </w:p>
        </w:tc>
        <w:tc>
          <w:tcPr>
            <w:tcW w:type="dxa" w:w="2351"/>
          </w:tcPr>
          <w:p>
            <w:r>
              <w:t>CISO</w:t>
            </w:r>
          </w:p>
        </w:tc>
        <w:tc>
          <w:tcPr>
            <w:tcW w:type="dxa" w:w="2351"/>
          </w:tcPr>
          <w:p>
            <w:r>
              <w:t>10%</w:t>
            </w:r>
          </w:p>
        </w:tc>
        <w:tc>
          <w:tcPr>
            <w:tcW w:type="dxa" w:w="2351"/>
          </w:tcPr>
          <w:p>
            <w:r>
              <w:t>Cibersegurança + adversarial testing</w:t>
            </w:r>
          </w:p>
        </w:tc>
      </w:tr>
      <w:tr>
        <w:tc>
          <w:tcPr>
            <w:tcW w:type="dxa" w:w="2351"/>
          </w:tcPr>
          <w:p>
            <w:r>
              <w:t>Equipa data engineers (3p)</w:t>
            </w:r>
          </w:p>
        </w:tc>
        <w:tc>
          <w:tcPr>
            <w:tcW w:type="dxa" w:w="2351"/>
          </w:tcPr>
          <w:p>
            <w:r>
              <w:t>Engineers</w:t>
            </w:r>
          </w:p>
        </w:tc>
        <w:tc>
          <w:tcPr>
            <w:tcW w:type="dxa" w:w="2351"/>
          </w:tcPr>
          <w:p>
            <w:r>
              <w:t>60%</w:t>
            </w:r>
          </w:p>
        </w:tc>
        <w:tc>
          <w:tcPr>
            <w:tcW w:type="dxa" w:w="2351"/>
          </w:tcPr>
          <w:p>
            <w:r>
              <w:t>Datasets + pipeline</w:t>
            </w:r>
          </w:p>
        </w:tc>
      </w:tr>
    </w:tbl>
    <w:p>
      <w:pPr>
        <w:pStyle w:val="Heading1"/>
      </w:pPr>
      <w:r>
        <w:rPr>
          <w:color w:val="0F172A"/>
        </w:rPr>
        <w:t>▌ 7. Cronograma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0F172A"/>
          </w:tcPr>
          <w:p>
            <w:r>
              <w:rPr>
                <w:b/>
                <w:color w:val="FFFFFF"/>
              </w:rPr>
              <w:t>Período</w:t>
            </w:r>
          </w:p>
        </w:tc>
        <w:tc>
          <w:tcPr>
            <w:tcW w:type="dxa" w:w="4703"/>
            <w:shd w:val="clear" w:color="auto" w:fill="0F172A"/>
          </w:tcPr>
          <w:p>
            <w:r>
              <w:rPr>
                <w:b/>
                <w:color w:val="FFFFFF"/>
              </w:rPr>
              <w:t>Marco</w:t>
            </w:r>
          </w:p>
        </w:tc>
      </w:tr>
      <w:tr>
        <w:tc>
          <w:tcPr>
            <w:tcW w:type="dxa" w:w="4703"/>
          </w:tcPr>
          <w:p>
            <w:r>
              <w:t>Q2 2026</w:t>
            </w:r>
          </w:p>
        </w:tc>
        <w:tc>
          <w:tcPr>
            <w:tcW w:type="dxa" w:w="4703"/>
          </w:tcPr>
          <w:p>
            <w:r>
              <w:t>Preparação dados + arquitetura</w:t>
            </w:r>
          </w:p>
        </w:tc>
      </w:tr>
      <w:tr>
        <w:tc>
          <w:tcPr>
            <w:tcW w:type="dxa" w:w="4703"/>
          </w:tcPr>
          <w:p>
            <w:r>
              <w:t>Q3 2026 (cedo)</w:t>
            </w:r>
          </w:p>
        </w:tc>
        <w:tc>
          <w:tcPr>
            <w:tcW w:type="dxa" w:w="4703"/>
          </w:tcPr>
          <w:p>
            <w:r>
              <w:t>Treino + fine-tune</w:t>
            </w:r>
          </w:p>
        </w:tc>
      </w:tr>
      <w:tr>
        <w:tc>
          <w:tcPr>
            <w:tcW w:type="dxa" w:w="4703"/>
          </w:tcPr>
          <w:p>
            <w:r>
              <w:t>Q3 2026 (mid)</w:t>
            </w:r>
          </w:p>
        </w:tc>
        <w:tc>
          <w:tcPr>
            <w:tcW w:type="dxa" w:w="4703"/>
          </w:tcPr>
          <w:p>
            <w:r>
              <w:t>Avaliação + testes + documentação Anexo XI</w:t>
            </w:r>
          </w:p>
        </w:tc>
      </w:tr>
      <w:tr>
        <w:tc>
          <w:tcPr>
            <w:tcW w:type="dxa" w:w="4703"/>
          </w:tcPr>
          <w:p>
            <w:r>
              <w:t>Q3 2026 (fim)</w:t>
            </w:r>
          </w:p>
        </w:tc>
        <w:tc>
          <w:tcPr>
            <w:tcW w:type="dxa" w:w="4703"/>
          </w:tcPr>
          <w:p>
            <w:r>
              <w:t>Submissão à sandbox regulatória ANACOM</w:t>
            </w:r>
          </w:p>
        </w:tc>
      </w:tr>
      <w:tr>
        <w:tc>
          <w:tcPr>
            <w:tcW w:type="dxa" w:w="4703"/>
          </w:tcPr>
          <w:p>
            <w:r>
              <w:t>Q4 2026</w:t>
            </w:r>
          </w:p>
        </w:tc>
        <w:tc>
          <w:tcPr>
            <w:tcW w:type="dxa" w:w="4703"/>
          </w:tcPr>
          <w:p>
            <w:r>
              <w:t>Validação em sandbox + iteração</w:t>
            </w:r>
          </w:p>
        </w:tc>
      </w:tr>
      <w:tr>
        <w:tc>
          <w:tcPr>
            <w:tcW w:type="dxa" w:w="4703"/>
          </w:tcPr>
          <w:p>
            <w:r>
              <w:t>Q1 2027</w:t>
            </w:r>
          </w:p>
        </w:tc>
        <w:tc>
          <w:tcPr>
            <w:tcW w:type="dxa" w:w="4703"/>
          </w:tcPr>
          <w:p>
            <w:r>
              <w:t>Release para uso interno (MedTriage suporte)</w:t>
            </w:r>
          </w:p>
        </w:tc>
      </w:tr>
    </w:tbl>
    <w:p/>
    <w:p>
      <w:pPr>
        <w:jc w:val="center"/>
      </w:pPr>
      <w:r>
        <w:rPr>
          <w:i/>
          <w:color w:val="5C6B7A"/>
          <w:sz w:val="16"/>
        </w:rPr>
        <w:t>Este modelo foi gerado por AI Act Portugal (https://aiact-portugal.pt) como guia indicativo de conformidade com o Regulamento (UE) 2024/1689. Os exemplos pré-preenchidos referem-se a uma organização ficcional (TechMed Solutions, S.A.) - adapte os campos à realidade da sua organização. Não substitui aconselhamento jurídico.</w:t>
      </w:r>
    </w:p>
    <w:p>
      <w:r>
        <w:br w:type="page"/>
      </w:r>
    </w:p>
    <w:p>
      <w:pPr>
        <w:pStyle w:val="Heading2"/>
      </w:pPr>
      <w:r>
        <w:rPr>
          <w:rFonts w:ascii="Calibri" w:hAnsi="Calibri"/>
          <w:color w:val="0F172A"/>
        </w:rPr>
        <w:t>Histórico de revisões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Versão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Data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Autor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Resumo das alterações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Aprovado por</w:t>
            </w:r>
          </w:p>
        </w:tc>
      </w:tr>
      <w:tr>
        <w:tc>
          <w:tcPr>
            <w:tcW w:type="dxa" w:w="1881"/>
          </w:tcPr>
          <w:p>
            <w:r>
              <w:t>1.0</w:t>
            </w:r>
          </w:p>
        </w:tc>
        <w:tc>
          <w:tcPr>
            <w:tcW w:type="dxa" w:w="1881"/>
          </w:tcPr>
          <w:p>
            <w:r>
              <w:t>2026-04-15</w:t>
            </w:r>
          </w:p>
        </w:tc>
        <w:tc>
          <w:tcPr>
            <w:tcW w:type="dxa" w:w="1881"/>
          </w:tcPr>
          <w:p>
            <w:r>
              <w:t>AI Officer</w:t>
            </w:r>
          </w:p>
        </w:tc>
        <w:tc>
          <w:tcPr>
            <w:tcW w:type="dxa" w:w="1881"/>
          </w:tcPr>
          <w:p>
            <w:r>
              <w:t>Versão inicial</w:t>
            </w:r>
          </w:p>
        </w:tc>
        <w:tc>
          <w:tcPr>
            <w:tcW w:type="dxa" w:w="1881"/>
          </w:tcPr>
          <w:p>
            <w:r>
              <w:t>CEO + Comité IA</w:t>
            </w:r>
          </w:p>
        </w:tc>
      </w:tr>
      <w:tr>
        <w:tc>
          <w:tcPr>
            <w:tcW w:type="dxa" w:w="1881"/>
          </w:tcPr>
          <w:p>
            <w:r>
              <w:t>1.1</w:t>
            </w:r>
          </w:p>
        </w:tc>
        <w:tc>
          <w:tcPr>
            <w:tcW w:type="dxa" w:w="1881"/>
          </w:tcPr>
          <w:p>
            <w:r>
              <w:t>__/__/______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</w:tr>
      <w:tr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</w:tr>
    </w:tbl>
    <w:p>
      <w:r>
        <w:rPr>
          <w:i/>
          <w:color w:val="5C6B7A"/>
          <w:sz w:val="18"/>
        </w:rPr>
        <w:t>Cada alteração material a este documento deve gerar nova versão e ser aprovada pelas pessoas designadas. Conserve histórico durante 10 anos (Art. 11(2) para sistemas de alto risco).</w:t>
      </w:r>
    </w:p>
    <w:p/>
    <w:p>
      <w:pPr>
        <w:pStyle w:val="Heading2"/>
      </w:pPr>
      <w:r>
        <w:rPr>
          <w:rFonts w:ascii="Calibri" w:hAnsi="Calibri"/>
          <w:color w:val="0F172A"/>
        </w:rPr>
        <w:t>Aprovações</w:t>
      </w:r>
    </w:p>
    <w:p>
      <w:r>
        <w:rPr>
          <w:sz w:val="21"/>
        </w:rPr>
        <w:t>Este documento foi revisto e aprovado pelas pessoas indicadas abaixo. As assinaturas atestam concordância com o conteúdo e compromisso com a sua aplicação na organização.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Papel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Nome e cargo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Assinatura e data</w:t>
            </w:r>
          </w:p>
        </w:tc>
      </w:tr>
      <w:tr>
        <w:tc>
          <w:tcPr>
            <w:tcW w:type="dxa" w:w="3135"/>
          </w:tcPr>
          <w:p>
            <w:r>
              <w:t>Elaborado por</w:t>
            </w:r>
          </w:p>
        </w:tc>
        <w:tc>
          <w:tcPr>
            <w:tcW w:type="dxa" w:w="3135"/>
          </w:tcPr>
          <w:p>
            <w:r>
              <w:t>[Nome] · AI Officer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Revisto por</w:t>
            </w:r>
          </w:p>
        </w:tc>
        <w:tc>
          <w:tcPr>
            <w:tcW w:type="dxa" w:w="3135"/>
          </w:tcPr>
          <w:p>
            <w:r>
              <w:t>[Nome] · DPO + CISO + Compliance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Aprovado por</w:t>
            </w:r>
          </w:p>
        </w:tc>
        <w:tc>
          <w:tcPr>
            <w:tcW w:type="dxa" w:w="3135"/>
          </w:tcPr>
          <w:p>
            <w:r>
              <w:t>[Nome] · CEO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47" w:right="1417" w:bottom="1247" w:left="1417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  <w:pBdr>
        <w:top w:val="single" w:sz="6" w:space="1" w:color="0891B2"/>
      </w:pBdr>
    </w:pPr>
    <w:r>
      <w:rPr>
        <w:rFonts w:ascii="Calibri" w:hAnsi="Calibri"/>
        <w:color w:val="5C6B7A"/>
        <w:sz w:val="17"/>
      </w:rPr>
      <w:t xml:space="preserve">Confidencial  |  Página </w:t>
    </w:r>
    <w:r>
      <w:rPr>
        <w:rFonts w:ascii="Calibri" w:hAnsi="Calibri"/>
        <w:color w:val="5C6B7A"/>
        <w:sz w:val="17"/>
      </w:rPr>
      <w:fldChar w:fldCharType="begin"/>
      <w:instrText>PAGE</w:instrText>
      <w:fldChar w:fldCharType="end"/>
    </w:r>
    <w:r>
      <w:rPr>
        <w:rFonts w:ascii="Calibri" w:hAnsi="Calibri"/>
        <w:color w:val="5C6B7A"/>
        <w:sz w:val="17"/>
      </w:rPr>
      <w:t xml:space="preserve"> de </w:t>
    </w:r>
    <w:r>
      <w:rPr>
        <w:rFonts w:ascii="Calibri" w:hAnsi="Calibri"/>
        <w:color w:val="5C6B7A"/>
        <w:sz w:val="17"/>
      </w:rPr>
      <w:fldChar w:fldCharType="begin"/>
      <w:instrText>NUMPAGES</w:instrText>
      <w:fldChar w:fldCharType="end"/>
    </w:r>
    <w:r>
      <w:rPr>
        <w:rFonts w:ascii="Calibri" w:hAnsi="Calibri"/>
        <w:color w:val="5C6B7A"/>
        <w:sz w:val="17"/>
      </w:rPr>
      <w:t xml:space="preserve">  ·  AI Act Portugal · Reg. (UE) 2024/1689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6" w:space="1" w:color="0F172A"/>
      </w:pBdr>
    </w:pPr>
    <w:r>
      <w:rPr>
        <w:rFonts w:ascii="Calibri" w:hAnsi="Calibri"/>
        <w:i/>
        <w:color w:val="5C6B7A"/>
        <w:sz w:val="17"/>
      </w:rPr>
      <w:t>AI Act Portugal  ·  Modelo Profissional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jc w:val="both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