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Stakeholder Map - Sistema IA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Identificação e classificação de stakeholders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Boa prática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Stakeholder Map - Sistema IA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Mapa de stakeholders do MedTriage AI v3.2 - completo.</w:t>
      </w:r>
    </w:p>
    <w:p>
      <w:pPr>
        <w:pStyle w:val="Heading1"/>
      </w:pPr>
      <w:r>
        <w:rPr>
          <w:color w:val="0F172A"/>
        </w:rPr>
        <w:t>▌ 1. Sistema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Sistema</w:t>
            </w:r>
          </w:p>
        </w:tc>
        <w:tc>
          <w:tcPr>
            <w:tcW w:type="dxa" w:w="6236"/>
          </w:tcPr>
          <w:p>
            <w:r>
              <w:t>MedTriage AI v3.2.1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Owner</w:t>
            </w:r>
          </w:p>
        </w:tc>
        <w:tc>
          <w:tcPr>
            <w:tcW w:type="dxa" w:w="6236"/>
          </w:tcPr>
          <w:p>
            <w:r>
              <w:t>Dr.ª Sofia Mendes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Última atualização</w:t>
            </w:r>
          </w:p>
        </w:tc>
        <w:tc>
          <w:tcPr>
            <w:tcW w:type="dxa" w:w="6236"/>
          </w:tcPr>
          <w:p>
            <w:r>
              <w:t>2026-04-15</w:t>
            </w:r>
          </w:p>
        </w:tc>
      </w:tr>
    </w:tbl>
    <w:p>
      <w:pPr>
        <w:pStyle w:val="Heading1"/>
      </w:pPr>
      <w:r>
        <w:rPr>
          <w:color w:val="0F172A"/>
        </w:rPr>
        <w:t>▌ 2. Stakeholders identificados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Stakeholder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Tipo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Influência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Impacto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Interesse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Estratégia engagement</w:t>
            </w:r>
          </w:p>
        </w:tc>
      </w:tr>
      <w:tr>
        <w:tc>
          <w:tcPr>
            <w:tcW w:type="dxa" w:w="1568"/>
          </w:tcPr>
          <w:p>
            <w:r>
              <w:t>Doentes/utilizadores finais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Triados pelo sistema; podem ser sub-prioritizados.</w:t>
            </w:r>
          </w:p>
        </w:tc>
        <w:tc>
          <w:tcPr>
            <w:tcW w:type="dxa" w:w="1568"/>
          </w:tcPr>
          <w:p>
            <w:r>
              <w:t>Aviso transparência + canal queixa + FRIA</w:t>
            </w:r>
          </w:p>
        </w:tc>
      </w:tr>
      <w:tr>
        <w:tc>
          <w:tcPr>
            <w:tcW w:type="dxa" w:w="1568"/>
          </w:tcPr>
          <w:p>
            <w:r>
              <w:t>Profissionais de saúde (supervisores)</w:t>
            </w:r>
          </w:p>
        </w:tc>
        <w:tc>
          <w:tcPr>
            <w:tcW w:type="dxa" w:w="1568"/>
          </w:tcPr>
          <w:p>
            <w:r>
              <w:t>Interno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Operam o sistema; supervisão humana obrigatória.</w:t>
            </w:r>
          </w:p>
        </w:tc>
        <w:tc>
          <w:tcPr>
            <w:tcW w:type="dxa" w:w="1568"/>
          </w:tcPr>
          <w:p>
            <w:r>
              <w:t>Formação 16h + reciclagem + feedback channel</w:t>
            </w:r>
          </w:p>
        </w:tc>
      </w:tr>
      <w:tr>
        <w:tc>
          <w:tcPr>
            <w:tcW w:type="dxa" w:w="1568"/>
          </w:tcPr>
          <w:p>
            <w:r>
              <w:t>Diretores clínicos hospitais parceiros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Médio</w:t>
            </w:r>
          </w:p>
        </w:tc>
        <w:tc>
          <w:tcPr>
            <w:tcW w:type="dxa" w:w="1568"/>
          </w:tcPr>
          <w:p>
            <w:r>
              <w:t>Aprovam uso; recebem KPIs.</w:t>
            </w:r>
          </w:p>
        </w:tc>
        <w:tc>
          <w:tcPr>
            <w:tcW w:type="dxa" w:w="1568"/>
          </w:tcPr>
          <w:p>
            <w:r>
              <w:t>Reuniões trimestrais + dashboard hospitalar</w:t>
            </w:r>
          </w:p>
        </w:tc>
      </w:tr>
      <w:tr>
        <w:tc>
          <w:tcPr>
            <w:tcW w:type="dxa" w:w="1568"/>
          </w:tcPr>
          <w:p>
            <w:r>
              <w:t>Familiares de doentes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Médio</w:t>
            </w:r>
          </w:p>
        </w:tc>
        <w:tc>
          <w:tcPr>
            <w:tcW w:type="dxa" w:w="1568"/>
          </w:tcPr>
          <w:p>
            <w:r>
              <w:t>Baixo</w:t>
            </w:r>
          </w:p>
        </w:tc>
        <w:tc>
          <w:tcPr>
            <w:tcW w:type="dxa" w:w="1568"/>
          </w:tcPr>
          <w:p>
            <w:r>
              <w:t>Podem questionar decisões.</w:t>
            </w:r>
          </w:p>
        </w:tc>
        <w:tc>
          <w:tcPr>
            <w:tcW w:type="dxa" w:w="1568"/>
          </w:tcPr>
          <w:p>
            <w:r>
              <w:t>FAQ + canal queixa + linha 800</w:t>
            </w:r>
          </w:p>
        </w:tc>
      </w:tr>
      <w:tr>
        <w:tc>
          <w:tcPr>
            <w:tcW w:type="dxa" w:w="1568"/>
          </w:tcPr>
          <w:p>
            <w:r>
              <w:t>ANACOM (autoridade)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Crítico</w:t>
            </w:r>
          </w:p>
        </w:tc>
        <w:tc>
          <w:tcPr>
            <w:tcW w:type="dxa" w:w="1568"/>
          </w:tcPr>
          <w:p>
            <w:r>
              <w:t>Variável</w:t>
            </w:r>
          </w:p>
        </w:tc>
        <w:tc>
          <w:tcPr>
            <w:tcW w:type="dxa" w:w="1568"/>
          </w:tcPr>
          <w:p>
            <w:r>
              <w:t>Supervisão regulatória.</w:t>
            </w:r>
          </w:p>
        </w:tc>
        <w:tc>
          <w:tcPr>
            <w:tcW w:type="dxa" w:w="1568"/>
          </w:tcPr>
          <w:p>
            <w:r>
              <w:t>Notificações Art. 73 + cooperação total</w:t>
            </w:r>
          </w:p>
        </w:tc>
      </w:tr>
      <w:tr>
        <w:tc>
          <w:tcPr>
            <w:tcW w:type="dxa" w:w="1568"/>
          </w:tcPr>
          <w:p>
            <w:r>
              <w:t>CNPD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Variável</w:t>
            </w:r>
          </w:p>
        </w:tc>
        <w:tc>
          <w:tcPr>
            <w:tcW w:type="dxa" w:w="1568"/>
          </w:tcPr>
          <w:p>
            <w:r>
              <w:t>Supervisão RGPD (dados saúde).</w:t>
            </w:r>
          </w:p>
        </w:tc>
        <w:tc>
          <w:tcPr>
            <w:tcW w:type="dxa" w:w="1568"/>
          </w:tcPr>
          <w:p>
            <w:r>
              <w:t>AIPD + parecer 2024/167</w:t>
            </w:r>
          </w:p>
        </w:tc>
      </w:tr>
      <w:tr>
        <w:tc>
          <w:tcPr>
            <w:tcW w:type="dxa" w:w="1568"/>
          </w:tcPr>
          <w:p>
            <w:r>
              <w:t>Ministério da Saúde / SNS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Médio</w:t>
            </w:r>
          </w:p>
        </w:tc>
        <w:tc>
          <w:tcPr>
            <w:tcW w:type="dxa" w:w="1568"/>
          </w:tcPr>
          <w:p>
            <w:r>
              <w:t>SNS é stakeholder estratégico.</w:t>
            </w:r>
          </w:p>
        </w:tc>
        <w:tc>
          <w:tcPr>
            <w:tcW w:type="dxa" w:w="1568"/>
          </w:tcPr>
          <w:p>
            <w:r>
              <w:t>Comunicação direta CEO; relatórios trimestrais</w:t>
            </w:r>
          </w:p>
        </w:tc>
      </w:tr>
      <w:tr>
        <w:tc>
          <w:tcPr>
            <w:tcW w:type="dxa" w:w="1568"/>
          </w:tcPr>
          <w:p>
            <w:r>
              <w:t>Conselho de Administração TechMed</w:t>
            </w:r>
          </w:p>
        </w:tc>
        <w:tc>
          <w:tcPr>
            <w:tcW w:type="dxa" w:w="1568"/>
          </w:tcPr>
          <w:p>
            <w:r>
              <w:t>Interno</w:t>
            </w:r>
          </w:p>
        </w:tc>
        <w:tc>
          <w:tcPr>
            <w:tcW w:type="dxa" w:w="1568"/>
          </w:tcPr>
          <w:p>
            <w:r>
              <w:t>Crítico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Aprovação estratégica + risco residual.</w:t>
            </w:r>
          </w:p>
        </w:tc>
        <w:tc>
          <w:tcPr>
            <w:tcW w:type="dxa" w:w="1568"/>
          </w:tcPr>
          <w:p>
            <w:r>
              <w:t>Comité IA mensal + Acta revisão gestão</w:t>
            </w:r>
          </w:p>
        </w:tc>
      </w:tr>
      <w:tr>
        <w:tc>
          <w:tcPr>
            <w:tcW w:type="dxa" w:w="1568"/>
          </w:tcPr>
          <w:p>
            <w:r>
              <w:t>Equipa técnica MedTriage</w:t>
            </w:r>
          </w:p>
        </w:tc>
        <w:tc>
          <w:tcPr>
            <w:tcW w:type="dxa" w:w="1568"/>
          </w:tcPr>
          <w:p>
            <w:r>
              <w:t>Interno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Crítico</w:t>
            </w:r>
          </w:p>
        </w:tc>
        <w:tc>
          <w:tcPr>
            <w:tcW w:type="dxa" w:w="1568"/>
          </w:tcPr>
          <w:p>
            <w:r>
              <w:t>Desenvolvem e operam.</w:t>
            </w:r>
          </w:p>
        </w:tc>
        <w:tc>
          <w:tcPr>
            <w:tcW w:type="dxa" w:w="1568"/>
          </w:tcPr>
          <w:p>
            <w:r>
              <w:t>Comunicação diária + processos definidos</w:t>
            </w:r>
          </w:p>
        </w:tc>
      </w:tr>
      <w:tr>
        <w:tc>
          <w:tcPr>
            <w:tcW w:type="dxa" w:w="1568"/>
          </w:tcPr>
          <w:p>
            <w:r>
              <w:t>DPO TechMed</w:t>
            </w:r>
          </w:p>
        </w:tc>
        <w:tc>
          <w:tcPr>
            <w:tcW w:type="dxa" w:w="1568"/>
          </w:tcPr>
          <w:p>
            <w:r>
              <w:t>Interno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Supervisão privacidade + FRIA.</w:t>
            </w:r>
          </w:p>
        </w:tc>
        <w:tc>
          <w:tcPr>
            <w:tcW w:type="dxa" w:w="1568"/>
          </w:tcPr>
          <w:p>
            <w:r>
              <w:t>Envolvimento em todas as decisões materiais</w:t>
            </w:r>
          </w:p>
        </w:tc>
      </w:tr>
      <w:tr>
        <w:tc>
          <w:tcPr>
            <w:tcW w:type="dxa" w:w="1568"/>
          </w:tcPr>
          <w:p>
            <w:r>
              <w:t>Investigadores / academia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Baixo</w:t>
            </w:r>
          </w:p>
        </w:tc>
        <w:tc>
          <w:tcPr>
            <w:tcW w:type="dxa" w:w="1568"/>
          </w:tcPr>
          <w:p>
            <w:r>
              <w:t>Baixo</w:t>
            </w:r>
          </w:p>
        </w:tc>
        <w:tc>
          <w:tcPr>
            <w:tcW w:type="dxa" w:w="1568"/>
          </w:tcPr>
          <w:p>
            <w:r>
              <w:t>Podem usar dataset para investigação.</w:t>
            </w:r>
          </w:p>
        </w:tc>
        <w:tc>
          <w:tcPr>
            <w:tcW w:type="dxa" w:w="1568"/>
          </w:tcPr>
          <w:p>
            <w:r>
              <w:t>Política partilha pseudonimizada</w:t>
            </w:r>
          </w:p>
        </w:tc>
      </w:tr>
      <w:tr>
        <w:tc>
          <w:tcPr>
            <w:tcW w:type="dxa" w:w="1568"/>
          </w:tcPr>
          <w:p>
            <w:r>
              <w:t>Imprensa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Variável</w:t>
            </w:r>
          </w:p>
        </w:tc>
        <w:tc>
          <w:tcPr>
            <w:tcW w:type="dxa" w:w="1568"/>
          </w:tcPr>
          <w:p>
            <w:r>
              <w:t>Variável</w:t>
            </w:r>
          </w:p>
        </w:tc>
        <w:tc>
          <w:tcPr>
            <w:tcW w:type="dxa" w:w="1568"/>
          </w:tcPr>
          <w:p>
            <w:r>
              <w:t>Cobertura mediática em incidentes.</w:t>
            </w:r>
          </w:p>
        </w:tc>
        <w:tc>
          <w:tcPr>
            <w:tcW w:type="dxa" w:w="1568"/>
          </w:tcPr>
          <w:p>
            <w:r>
              <w:t>Plano comunicação crise + porta-voz</w:t>
            </w:r>
          </w:p>
        </w:tc>
      </w:tr>
      <w:tr>
        <w:tc>
          <w:tcPr>
            <w:tcW w:type="dxa" w:w="1568"/>
          </w:tcPr>
          <w:p>
            <w:r>
              <w:t>Auditores externos (KPMG)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Alto</w:t>
            </w:r>
          </w:p>
        </w:tc>
        <w:tc>
          <w:tcPr>
            <w:tcW w:type="dxa" w:w="1568"/>
          </w:tcPr>
          <w:p>
            <w:r>
              <w:t>Baixo</w:t>
            </w:r>
          </w:p>
        </w:tc>
        <w:tc>
          <w:tcPr>
            <w:tcW w:type="dxa" w:w="1568"/>
          </w:tcPr>
          <w:p>
            <w:r>
              <w:t>Validação independente anual.</w:t>
            </w:r>
          </w:p>
        </w:tc>
        <w:tc>
          <w:tcPr>
            <w:tcW w:type="dxa" w:w="1568"/>
          </w:tcPr>
          <w:p>
            <w:r>
              <w:t>Cooperação total; documentação acessível</w:t>
            </w:r>
          </w:p>
        </w:tc>
      </w:tr>
      <w:tr>
        <w:tc>
          <w:tcPr>
            <w:tcW w:type="dxa" w:w="1568"/>
          </w:tcPr>
          <w:p>
            <w:r>
              <w:t>Concorrência</w:t>
            </w:r>
          </w:p>
        </w:tc>
        <w:tc>
          <w:tcPr>
            <w:tcW w:type="dxa" w:w="1568"/>
          </w:tcPr>
          <w:p>
            <w:r>
              <w:t>Externo</w:t>
            </w:r>
          </w:p>
        </w:tc>
        <w:tc>
          <w:tcPr>
            <w:tcW w:type="dxa" w:w="1568"/>
          </w:tcPr>
          <w:p>
            <w:r>
              <w:t>Baixo</w:t>
            </w:r>
          </w:p>
        </w:tc>
        <w:tc>
          <w:tcPr>
            <w:tcW w:type="dxa" w:w="1568"/>
          </w:tcPr>
          <w:p>
            <w:r>
              <w:t>Médio</w:t>
            </w:r>
          </w:p>
        </w:tc>
        <w:tc>
          <w:tcPr>
            <w:tcW w:type="dxa" w:w="1568"/>
          </w:tcPr>
          <w:p>
            <w:r>
              <w:t>Pode replicar tecnologia.</w:t>
            </w:r>
          </w:p>
        </w:tc>
        <w:tc>
          <w:tcPr>
            <w:tcW w:type="dxa" w:w="1568"/>
          </w:tcPr>
          <w:p>
            <w:r>
              <w:t>Proteção PI + watermarking + fair competition</w:t>
            </w:r>
          </w:p>
        </w:tc>
      </w:tr>
    </w:tbl>
    <w:p>
      <w:pPr>
        <w:pStyle w:val="Heading1"/>
      </w:pPr>
      <w:r>
        <w:rPr>
          <w:color w:val="0F172A"/>
        </w:rPr>
        <w:t>▌ 3. Matriz de Engagement (Power-Interest)</w:t>
      </w:r>
    </w:p>
    <w:p>
      <w:r>
        <w:rPr>
          <w:sz w:val="22"/>
        </w:rPr>
        <w:t>Quadrante I (Manage closely) - alto poder + alto interesse: ANACOM, CA, equipa técnica, doentes (em incidentes graves), Diretora Médica.</w:t>
      </w:r>
    </w:p>
    <w:p>
      <w:r>
        <w:rPr>
          <w:sz w:val="22"/>
        </w:rPr>
        <w:t>Quadrante II (Keep satisfied) - alto poder + baixo interesse: Conselho de Administração (em geral), MoH.</w:t>
      </w:r>
    </w:p>
    <w:p>
      <w:r>
        <w:rPr>
          <w:sz w:val="22"/>
        </w:rPr>
        <w:t>Quadrante III (Keep informed) - baixo poder + alto interesse: profissionais de saúde, familiares, investigadores.</w:t>
      </w:r>
    </w:p>
    <w:p>
      <w:r>
        <w:rPr>
          <w:sz w:val="22"/>
        </w:rPr>
        <w:t>Quadrante IV (Monitor) - baixo poder + baixo interesse: imprensa (em geral), concorrência.</w:t>
      </w:r>
    </w:p>
    <w:p>
      <w:pPr>
        <w:pStyle w:val="Heading1"/>
      </w:pPr>
      <w:r>
        <w:rPr>
          <w:color w:val="0F172A"/>
        </w:rPr>
        <w:t>▌ 4. Plano de comunicação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Stakeholder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Canal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Frequência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Responsável</w:t>
            </w:r>
          </w:p>
        </w:tc>
      </w:tr>
      <w:tr>
        <w:tc>
          <w:tcPr>
            <w:tcW w:type="dxa" w:w="2351"/>
          </w:tcPr>
          <w:p>
            <w:r>
              <w:t>Doentes</w:t>
            </w:r>
          </w:p>
        </w:tc>
        <w:tc>
          <w:tcPr>
            <w:tcW w:type="dxa" w:w="2351"/>
          </w:tcPr>
          <w:p>
            <w:r>
              <w:t>Aviso sala espera + folheto</w:t>
            </w:r>
          </w:p>
        </w:tc>
        <w:tc>
          <w:tcPr>
            <w:tcW w:type="dxa" w:w="2351"/>
          </w:tcPr>
          <w:p>
            <w:r>
              <w:t>Permanente</w:t>
            </w:r>
          </w:p>
        </w:tc>
        <w:tc>
          <w:tcPr>
            <w:tcW w:type="dxa" w:w="2351"/>
          </w:tcPr>
          <w:p>
            <w:r>
              <w:t>Diretora Médica</w:t>
            </w:r>
          </w:p>
        </w:tc>
      </w:tr>
      <w:tr>
        <w:tc>
          <w:tcPr>
            <w:tcW w:type="dxa" w:w="2351"/>
          </w:tcPr>
          <w:p>
            <w:r>
              <w:t>Supervisores clínicos</w:t>
            </w:r>
          </w:p>
        </w:tc>
        <w:tc>
          <w:tcPr>
            <w:tcW w:type="dxa" w:w="2351"/>
          </w:tcPr>
          <w:p>
            <w:r>
              <w:t>Briefing semanal + Slack</w:t>
            </w:r>
          </w:p>
        </w:tc>
        <w:tc>
          <w:tcPr>
            <w:tcW w:type="dxa" w:w="2351"/>
          </w:tcPr>
          <w:p>
            <w:r>
              <w:t>Semanal</w:t>
            </w:r>
          </w:p>
        </w:tc>
        <w:tc>
          <w:tcPr>
            <w:tcW w:type="dxa" w:w="2351"/>
          </w:tcPr>
          <w:p>
            <w:r>
              <w:t>Owner técnico</w:t>
            </w:r>
          </w:p>
        </w:tc>
      </w:tr>
      <w:tr>
        <w:tc>
          <w:tcPr>
            <w:tcW w:type="dxa" w:w="2351"/>
          </w:tcPr>
          <w:p>
            <w:r>
              <w:t>Diretores clínicos hospitais</w:t>
            </w:r>
          </w:p>
        </w:tc>
        <w:tc>
          <w:tcPr>
            <w:tcW w:type="dxa" w:w="2351"/>
          </w:tcPr>
          <w:p>
            <w:r>
              <w:t>Reunião trimestral + dashboard</w:t>
            </w:r>
          </w:p>
        </w:tc>
        <w:tc>
          <w:tcPr>
            <w:tcW w:type="dxa" w:w="2351"/>
          </w:tcPr>
          <w:p>
            <w:r>
              <w:t>Trimestral</w:t>
            </w:r>
          </w:p>
        </w:tc>
        <w:tc>
          <w:tcPr>
            <w:tcW w:type="dxa" w:w="2351"/>
          </w:tcPr>
          <w:p>
            <w:r>
              <w:t>P. Almeida</w:t>
            </w:r>
          </w:p>
        </w:tc>
      </w:tr>
      <w:tr>
        <w:tc>
          <w:tcPr>
            <w:tcW w:type="dxa" w:w="2351"/>
          </w:tcPr>
          <w:p>
            <w:r>
              <w:t>ANACOM</w:t>
            </w:r>
          </w:p>
        </w:tc>
        <w:tc>
          <w:tcPr>
            <w:tcW w:type="dxa" w:w="2351"/>
          </w:tcPr>
          <w:p>
            <w:r>
              <w:t>Relatório anual + ad-hoc</w:t>
            </w:r>
          </w:p>
        </w:tc>
        <w:tc>
          <w:tcPr>
            <w:tcW w:type="dxa" w:w="2351"/>
          </w:tcPr>
          <w:p>
            <w:r>
              <w:t>Anual + ad-hoc</w:t>
            </w:r>
          </w:p>
        </w:tc>
        <w:tc>
          <w:tcPr>
            <w:tcW w:type="dxa" w:w="2351"/>
          </w:tcPr>
          <w:p>
            <w:r>
              <w:t>AI Officer</w:t>
            </w:r>
          </w:p>
        </w:tc>
      </w:tr>
      <w:tr>
        <w:tc>
          <w:tcPr>
            <w:tcW w:type="dxa" w:w="2351"/>
          </w:tcPr>
          <w:p>
            <w:r>
              <w:t>Conselho TechMed</w:t>
            </w:r>
          </w:p>
        </w:tc>
        <w:tc>
          <w:tcPr>
            <w:tcW w:type="dxa" w:w="2351"/>
          </w:tcPr>
          <w:p>
            <w:r>
              <w:t>Acta revisão gestão</w:t>
            </w:r>
          </w:p>
        </w:tc>
        <w:tc>
          <w:tcPr>
            <w:tcW w:type="dxa" w:w="2351"/>
          </w:tcPr>
          <w:p>
            <w:r>
              <w:t>Trimestral</w:t>
            </w:r>
          </w:p>
        </w:tc>
        <w:tc>
          <w:tcPr>
            <w:tcW w:type="dxa" w:w="2351"/>
          </w:tcPr>
          <w:p>
            <w:r>
              <w:t>CEO + AI Officer</w:t>
            </w:r>
          </w:p>
        </w:tc>
      </w:tr>
      <w:tr>
        <w:tc>
          <w:tcPr>
            <w:tcW w:type="dxa" w:w="2351"/>
          </w:tcPr>
          <w:p>
            <w:r>
              <w:t>Equipa técnica</w:t>
            </w:r>
          </w:p>
        </w:tc>
        <w:tc>
          <w:tcPr>
            <w:tcW w:type="dxa" w:w="2351"/>
          </w:tcPr>
          <w:p>
            <w:r>
              <w:t>Daily standup + retrospectives</w:t>
            </w:r>
          </w:p>
        </w:tc>
        <w:tc>
          <w:tcPr>
            <w:tcW w:type="dxa" w:w="2351"/>
          </w:tcPr>
          <w:p>
            <w:r>
              <w:t>Diária</w:t>
            </w:r>
          </w:p>
        </w:tc>
        <w:tc>
          <w:tcPr>
            <w:tcW w:type="dxa" w:w="2351"/>
          </w:tcPr>
          <w:p>
            <w:r>
              <w:t>Tech Lead</w:t>
            </w:r>
          </w:p>
        </w:tc>
      </w:tr>
      <w:tr>
        <w:tc>
          <w:tcPr>
            <w:tcW w:type="dxa" w:w="2351"/>
          </w:tcPr>
          <w:p>
            <w:r>
              <w:t>Imprensa (em incidente)</w:t>
            </w:r>
          </w:p>
        </w:tc>
        <w:tc>
          <w:tcPr>
            <w:tcW w:type="dxa" w:w="2351"/>
          </w:tcPr>
          <w:p>
            <w:r>
              <w:t>Comunicado + porta-voz</w:t>
            </w:r>
          </w:p>
        </w:tc>
        <w:tc>
          <w:tcPr>
            <w:tcW w:type="dxa" w:w="2351"/>
          </w:tcPr>
          <w:p>
            <w:r>
              <w:t>Por incidente</w:t>
            </w:r>
          </w:p>
        </w:tc>
        <w:tc>
          <w:tcPr>
            <w:tcW w:type="dxa" w:w="2351"/>
          </w:tcPr>
          <w:p>
            <w:r>
              <w:t>CEO</w:t>
            </w:r>
          </w:p>
        </w:tc>
      </w:tr>
    </w:tbl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p/>
    <w:p>
      <w:pPr>
        <w:pStyle w:val="Heading2"/>
      </w:pPr>
      <w:r>
        <w:rPr>
          <w:rFonts w:ascii="Calibri" w:hAnsi="Calibri"/>
          <w:color w:val="0F172A"/>
        </w:rPr>
        <w:t>Aprovações</w:t>
      </w:r>
    </w:p>
    <w:p>
      <w:r>
        <w:rPr>
          <w:sz w:val="21"/>
        </w:rPr>
        <w:t>Este documento foi revisto e aprovado pelas pessoas indicadas abaixo. As assinaturas atestam concordância com o conteúdo e compromisso com a sua aplicação na organização.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Nome e cargo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Assinatura e data</w:t>
            </w:r>
          </w:p>
        </w:tc>
      </w:tr>
      <w:tr>
        <w:tc>
          <w:tcPr>
            <w:tcW w:type="dxa" w:w="3135"/>
          </w:tcPr>
          <w:p>
            <w:r>
              <w:t>Elaborado por</w:t>
            </w:r>
          </w:p>
        </w:tc>
        <w:tc>
          <w:tcPr>
            <w:tcW w:type="dxa" w:w="3135"/>
          </w:tcPr>
          <w:p>
            <w:r>
              <w:t>[Nome] · AI Officer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Revisto por</w:t>
            </w:r>
          </w:p>
        </w:tc>
        <w:tc>
          <w:tcPr>
            <w:tcW w:type="dxa" w:w="3135"/>
          </w:tcPr>
          <w:p>
            <w:r>
              <w:t>[Nome] · DPO + CISO + Compliance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Aprovado por</w:t>
            </w:r>
          </w:p>
        </w:tc>
        <w:tc>
          <w:tcPr>
            <w:tcW w:type="dxa" w:w="3135"/>
          </w:tcPr>
          <w:p>
            <w:r>
              <w:t>[Nome] · CEO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