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Statement of Applicability (SoA) - ISO/IEC 42001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Declaração de aplicabilidade dos controlos da ISO 42001:2023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ISO 42001 + Art. 17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Statement of Applicability (SoA) - ISO/IEC 42001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SoA institucional - alinhada com a candidatura à certificação ISO 42001 (TechMed Q4 2026).</w:t>
      </w:r>
    </w:p>
    <w:p>
      <w:pPr>
        <w:pStyle w:val="Heading1"/>
      </w:pPr>
      <w:r>
        <w:rPr>
          <w:color w:val="0F172A"/>
        </w:rPr>
        <w:t>▌ 1. Âmbito do AIMS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Organização</w:t>
            </w:r>
          </w:p>
        </w:tc>
        <w:tc>
          <w:tcPr>
            <w:tcW w:type="dxa" w:w="6236"/>
          </w:tcPr>
          <w:p>
            <w:r>
              <w:t>TechMed Solutions, S.A.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Sistemas IA abrangidos</w:t>
            </w:r>
          </w:p>
        </w:tc>
        <w:tc>
          <w:tcPr>
            <w:tcW w:type="dxa" w:w="6236"/>
          </w:tcPr>
          <w:p>
            <w:r>
              <w:t>MedTriage AI v3.x, HR-Match v1.x, CodeAssist GPAI v1.x, TM-Med-7B (em desenvolvimento)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Localizações</w:t>
            </w:r>
          </w:p>
        </w:tc>
        <w:tc>
          <w:tcPr>
            <w:tcW w:type="dxa" w:w="6236"/>
          </w:tcPr>
          <w:p>
            <w:r>
              <w:t>Sede Lisboa + 12 hospitais parceiros + DC Frankfurt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Exclusões</w:t>
            </w:r>
          </w:p>
        </w:tc>
        <w:tc>
          <w:tcPr>
            <w:tcW w:type="dxa" w:w="6236"/>
          </w:tcPr>
          <w:p>
            <w:r>
              <w:t>Sistemas legacy não-IA; ferramentas de IA usadas em modo "consumer" (sem dados sensíveis)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Contexto</w:t>
            </w:r>
          </w:p>
        </w:tc>
        <w:tc>
          <w:tcPr>
            <w:tcW w:type="dxa" w:w="6236"/>
          </w:tcPr>
          <w:p>
            <w:r>
              <w:t>Provider + Deployer; sector saúde (Anexo III ponto 5(b)) + RH (Anexo III ponto 4)</w:t>
            </w:r>
          </w:p>
        </w:tc>
      </w:tr>
    </w:tbl>
    <w:p>
      <w:pPr>
        <w:pStyle w:val="Heading1"/>
      </w:pPr>
      <w:r>
        <w:rPr>
          <w:color w:val="0F172A"/>
        </w:rPr>
        <w:t>▌ 2. Aplicabilidade dos controlos do Anexo A da ISO 42001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Controlo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Designação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Aplicabilidade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Implementação</w:t>
            </w:r>
          </w:p>
        </w:tc>
      </w:tr>
      <w:tr>
        <w:tc>
          <w:tcPr>
            <w:tcW w:type="dxa" w:w="2351"/>
          </w:tcPr>
          <w:p>
            <w:r>
              <w:t>A.2</w:t>
            </w:r>
          </w:p>
        </w:tc>
        <w:tc>
          <w:tcPr>
            <w:tcW w:type="dxa" w:w="2351"/>
          </w:tcPr>
          <w:p>
            <w:r>
              <w:t>Políticas relacionadas com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POL-AIMS-001 v1.0</w:t>
            </w:r>
          </w:p>
        </w:tc>
      </w:tr>
      <w:tr>
        <w:tc>
          <w:tcPr>
            <w:tcW w:type="dxa" w:w="2351"/>
          </w:tcPr>
          <w:p>
            <w:r>
              <w:t>A.3</w:t>
            </w:r>
          </w:p>
        </w:tc>
        <w:tc>
          <w:tcPr>
            <w:tcW w:type="dxa" w:w="2351"/>
          </w:tcPr>
          <w:p>
            <w:r>
              <w:t>Estruturas internas e responsabilidades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Comité IA + matriz RACI</w:t>
            </w:r>
          </w:p>
        </w:tc>
      </w:tr>
      <w:tr>
        <w:tc>
          <w:tcPr>
            <w:tcW w:type="dxa" w:w="2351"/>
          </w:tcPr>
          <w:p>
            <w:r>
              <w:t>A.4</w:t>
            </w:r>
          </w:p>
        </w:tc>
        <w:tc>
          <w:tcPr>
            <w:tcW w:type="dxa" w:w="2351"/>
          </w:tcPr>
          <w:p>
            <w:r>
              <w:t>Recursos para sistemas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Plano orçamental + recursos humanos</w:t>
            </w:r>
          </w:p>
        </w:tc>
      </w:tr>
      <w:tr>
        <w:tc>
          <w:tcPr>
            <w:tcW w:type="dxa" w:w="2351"/>
          </w:tcPr>
          <w:p>
            <w:r>
              <w:t>A.5</w:t>
            </w:r>
          </w:p>
        </w:tc>
        <w:tc>
          <w:tcPr>
            <w:tcW w:type="dxa" w:w="2351"/>
          </w:tcPr>
          <w:p>
            <w:r>
              <w:t>Avaliação de impacto de sistemas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FRIA-MED-2026-04 + FRIA-HR-2025-12</w:t>
            </w:r>
          </w:p>
        </w:tc>
      </w:tr>
      <w:tr>
        <w:tc>
          <w:tcPr>
            <w:tcW w:type="dxa" w:w="2351"/>
          </w:tcPr>
          <w:p>
            <w:r>
              <w:t>A.6</w:t>
            </w:r>
          </w:p>
        </w:tc>
        <w:tc>
          <w:tcPr>
            <w:tcW w:type="dxa" w:w="2351"/>
          </w:tcPr>
          <w:p>
            <w:r>
              <w:t>Ciclo de vida de sistemas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POL-LIFE-001 + processo desenvolvimento</w:t>
            </w:r>
          </w:p>
        </w:tc>
      </w:tr>
      <w:tr>
        <w:tc>
          <w:tcPr>
            <w:tcW w:type="dxa" w:w="2351"/>
          </w:tcPr>
          <w:p>
            <w:r>
              <w:t>A.6.2.5</w:t>
            </w:r>
          </w:p>
        </w:tc>
        <w:tc>
          <w:tcPr>
            <w:tcW w:type="dxa" w:w="2351"/>
          </w:tcPr>
          <w:p>
            <w:r>
              <w:t>Operações e monitorização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PMM-MED-2026-001</w:t>
            </w:r>
          </w:p>
        </w:tc>
      </w:tr>
      <w:tr>
        <w:tc>
          <w:tcPr>
            <w:tcW w:type="dxa" w:w="2351"/>
          </w:tcPr>
          <w:p>
            <w:r>
              <w:t>A.6.2.6</w:t>
            </w:r>
          </w:p>
        </w:tc>
        <w:tc>
          <w:tcPr>
            <w:tcW w:type="dxa" w:w="2351"/>
          </w:tcPr>
          <w:p>
            <w:r>
              <w:t>Supervisão humana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PSH-MED-2026-001</w:t>
            </w:r>
          </w:p>
        </w:tc>
      </w:tr>
      <w:tr>
        <w:tc>
          <w:tcPr>
            <w:tcW w:type="dxa" w:w="2351"/>
          </w:tcPr>
          <w:p>
            <w:r>
              <w:t>A.6.2.7</w:t>
            </w:r>
          </w:p>
        </w:tc>
        <w:tc>
          <w:tcPr>
            <w:tcW w:type="dxa" w:w="2351"/>
          </w:tcPr>
          <w:p>
            <w:r>
              <w:t>Performance evaluation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Dashboard KPIs</w:t>
            </w:r>
          </w:p>
        </w:tc>
      </w:tr>
      <w:tr>
        <w:tc>
          <w:tcPr>
            <w:tcW w:type="dxa" w:w="2351"/>
          </w:tcPr>
          <w:p>
            <w:r>
              <w:t>A.7</w:t>
            </w:r>
          </w:p>
        </w:tc>
        <w:tc>
          <w:tcPr>
            <w:tcW w:type="dxa" w:w="2351"/>
          </w:tcPr>
          <w:p>
            <w:r>
              <w:t>Dados para sistemas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Plano governança dados v1.0</w:t>
            </w:r>
          </w:p>
        </w:tc>
      </w:tr>
      <w:tr>
        <w:tc>
          <w:tcPr>
            <w:tcW w:type="dxa" w:w="2351"/>
          </w:tcPr>
          <w:p>
            <w:r>
              <w:t>A.8</w:t>
            </w:r>
          </w:p>
        </w:tc>
        <w:tc>
          <w:tcPr>
            <w:tcW w:type="dxa" w:w="2351"/>
          </w:tcPr>
          <w:p>
            <w:r>
              <w:t>Informação para utilizadores e partes interessadas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Aviso de transparência IA</w:t>
            </w:r>
          </w:p>
        </w:tc>
      </w:tr>
      <w:tr>
        <w:tc>
          <w:tcPr>
            <w:tcW w:type="dxa" w:w="2351"/>
          </w:tcPr>
          <w:p>
            <w:r>
              <w:t>A.9</w:t>
            </w:r>
          </w:p>
        </w:tc>
        <w:tc>
          <w:tcPr>
            <w:tcW w:type="dxa" w:w="2351"/>
          </w:tcPr>
          <w:p>
            <w:r>
              <w:t>Uso responsável de IA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AUP IA Generativa</w:t>
            </w:r>
          </w:p>
        </w:tc>
      </w:tr>
      <w:tr>
        <w:tc>
          <w:tcPr>
            <w:tcW w:type="dxa" w:w="2351"/>
          </w:tcPr>
          <w:p>
            <w:r>
              <w:t>A.10</w:t>
            </w:r>
          </w:p>
        </w:tc>
        <w:tc>
          <w:tcPr>
            <w:tcW w:type="dxa" w:w="2351"/>
          </w:tcPr>
          <w:p>
            <w:r>
              <w:t>Gestão de incidentes</w:t>
            </w:r>
          </w:p>
        </w:tc>
        <w:tc>
          <w:tcPr>
            <w:tcW w:type="dxa" w:w="2351"/>
          </w:tcPr>
          <w:p>
            <w:r>
              <w:t>Aplicável</w:t>
            </w:r>
          </w:p>
        </w:tc>
        <w:tc>
          <w:tcPr>
            <w:tcW w:type="dxa" w:w="2351"/>
          </w:tcPr>
          <w:p>
            <w:r>
              <w:t>POL-INC-001 + Playbook</w:t>
            </w:r>
          </w:p>
        </w:tc>
      </w:tr>
    </w:tbl>
    <w:p>
      <w:pPr>
        <w:pStyle w:val="Heading1"/>
      </w:pPr>
      <w:r>
        <w:rPr>
          <w:color w:val="0F172A"/>
        </w:rPr>
        <w:t>▌ 3. Justificação de exclusões</w:t>
      </w:r>
    </w:p>
    <w:p>
      <w:r>
        <w:rPr>
          <w:sz w:val="22"/>
        </w:rPr>
        <w:t>Não foram excluídos controlos do Anexo A da ISO 42001 - todos aplicáveis no contexto da TechMed.</w:t>
      </w:r>
    </w:p>
    <w:p>
      <w:pPr>
        <w:pStyle w:val="Heading1"/>
      </w:pPr>
      <w:r>
        <w:rPr>
          <w:color w:val="0F172A"/>
        </w:rPr>
        <w:t>▌ 4. Ligação com AI Act</w:t>
      </w:r>
    </w:p>
    <w:p>
      <w:r>
        <w:rPr>
          <w:sz w:val="22"/>
        </w:rPr>
        <w:t>Os controlos do Anexo A da ISO 42001 articulam-se naturalmente com as obrigações do AI Act. Ver matriz "Mapa AI Act ↔ ISO 42001" para cross-walk completo.</w:t>
      </w:r>
    </w:p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